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宋体" w:hAnsi="宋体"/>
          <w:b/>
          <w:sz w:val="48"/>
          <w:szCs w:val="48"/>
        </w:rPr>
      </w:pPr>
    </w:p>
    <w:p>
      <w:pPr>
        <w:spacing w:line="600" w:lineRule="exact"/>
        <w:jc w:val="center"/>
        <w:rPr>
          <w:rFonts w:ascii="宋体" w:hAnsi="宋体"/>
          <w:b/>
          <w:sz w:val="48"/>
          <w:szCs w:val="48"/>
        </w:rPr>
      </w:pPr>
    </w:p>
    <w:p>
      <w:pPr>
        <w:spacing w:line="600" w:lineRule="exact"/>
        <w:jc w:val="center"/>
        <w:rPr>
          <w:rFonts w:ascii="宋体" w:hAnsi="宋体"/>
          <w:b/>
          <w:sz w:val="48"/>
          <w:szCs w:val="48"/>
        </w:rPr>
      </w:pPr>
    </w:p>
    <w:p>
      <w:pPr>
        <w:spacing w:line="600" w:lineRule="exact"/>
        <w:jc w:val="center"/>
        <w:rPr>
          <w:rFonts w:ascii="宋体" w:hAnsi="宋体"/>
          <w:b/>
          <w:sz w:val="48"/>
          <w:szCs w:val="48"/>
        </w:rPr>
      </w:pPr>
    </w:p>
    <w:p>
      <w:pPr>
        <w:spacing w:line="600" w:lineRule="exact"/>
        <w:jc w:val="center"/>
        <w:rPr>
          <w:rFonts w:ascii="宋体" w:hAnsi="宋体"/>
          <w:b/>
          <w:sz w:val="48"/>
          <w:szCs w:val="48"/>
        </w:rPr>
      </w:pPr>
    </w:p>
    <w:p>
      <w:pPr>
        <w:spacing w:line="600" w:lineRule="exact"/>
        <w:jc w:val="center"/>
        <w:rPr>
          <w:rFonts w:ascii="宋体" w:hAnsi="宋体"/>
          <w:b/>
          <w:sz w:val="48"/>
          <w:szCs w:val="48"/>
        </w:rPr>
      </w:pP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rPr>
          <w:rFonts w:hint="eastAsia" w:ascii="仿宋_GB2312" w:hAnsi="方正小标宋_GBK" w:eastAsia="仿宋_GB2312"/>
          <w:kern w:val="32"/>
          <w:sz w:val="32"/>
          <w:szCs w:val="32"/>
          <w:lang w:eastAsia="zh-CN"/>
        </w:rPr>
      </w:pPr>
      <w:r>
        <w:rPr>
          <w:rFonts w:hint="eastAsia" w:ascii="仿宋_GB2312" w:hAnsi="方正小标宋_GBK" w:eastAsia="仿宋_GB2312"/>
          <w:kern w:val="32"/>
          <w:sz w:val="32"/>
          <w:szCs w:val="32"/>
        </w:rPr>
        <w:t>红政〔</w:t>
      </w:r>
      <w:r>
        <w:rPr>
          <w:rFonts w:ascii="仿宋_GB2312" w:hAnsi="方正小标宋_GBK" w:eastAsia="仿宋_GB2312"/>
          <w:kern w:val="32"/>
          <w:sz w:val="32"/>
          <w:szCs w:val="32"/>
        </w:rPr>
        <w:t>20</w:t>
      </w:r>
      <w:r>
        <w:rPr>
          <w:rFonts w:hint="eastAsia" w:ascii="仿宋_GB2312" w:hAnsi="方正小标宋_GBK" w:eastAsia="仿宋_GB2312"/>
          <w:kern w:val="32"/>
          <w:sz w:val="32"/>
          <w:szCs w:val="32"/>
          <w:lang w:val="en-US" w:eastAsia="zh-CN"/>
        </w:rPr>
        <w:t>22</w:t>
      </w:r>
      <w:r>
        <w:rPr>
          <w:rFonts w:hint="eastAsia" w:ascii="仿宋_GB2312" w:hAnsi="方正小标宋_GBK" w:eastAsia="仿宋_GB2312"/>
          <w:kern w:val="32"/>
          <w:sz w:val="32"/>
          <w:szCs w:val="32"/>
        </w:rPr>
        <w:t>〕</w:t>
      </w:r>
      <w:r>
        <w:rPr>
          <w:rFonts w:hint="eastAsia" w:ascii="仿宋_GB2312" w:hAnsi="方正小标宋_GBK" w:eastAsia="仿宋_GB2312"/>
          <w:color w:val="auto"/>
          <w:kern w:val="32"/>
          <w:sz w:val="32"/>
          <w:szCs w:val="32"/>
          <w:lang w:val="en-US" w:eastAsia="zh-CN"/>
        </w:rPr>
        <w:t>43</w:t>
      </w:r>
      <w:r>
        <w:rPr>
          <w:rFonts w:hint="eastAsia" w:ascii="仿宋_GB2312" w:hAnsi="方正小标宋_GBK" w:eastAsia="仿宋_GB2312"/>
          <w:kern w:val="32"/>
          <w:sz w:val="32"/>
          <w:szCs w:val="32"/>
        </w:rPr>
        <w:t>号</w:t>
      </w:r>
    </w:p>
    <w:p>
      <w:pPr>
        <w:pStyle w:val="11"/>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简体" w:hAnsi="方正小标宋简体" w:eastAsia="方正小标宋简体" w:cs="方正小标宋简体"/>
          <w:sz w:val="44"/>
          <w:szCs w:val="44"/>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kern w:val="0"/>
          <w:sz w:val="44"/>
          <w:szCs w:val="44"/>
          <w:lang w:val="en-US" w:eastAsia="zh-CN"/>
        </w:rPr>
        <w:t>红旗区人民政府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关于印发红旗区推动经济高质量发展奖励</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办法（试行）的通知</w:t>
      </w:r>
    </w:p>
    <w:p>
      <w:pPr>
        <w:pStyle w:val="10"/>
        <w:rPr>
          <w:rFonts w:hint="eastAsia"/>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eastAsia="仿宋_GB2312"/>
          <w:color w:val="auto"/>
          <w:sz w:val="32"/>
          <w:szCs w:val="32"/>
        </w:rPr>
      </w:pPr>
      <w:r>
        <w:rPr>
          <w:rFonts w:hint="eastAsia" w:ascii="仿宋_GB2312" w:hAnsi="华文中宋" w:eastAsia="仿宋_GB2312"/>
          <w:color w:val="auto"/>
          <w:sz w:val="32"/>
          <w:szCs w:val="32"/>
        </w:rPr>
        <w:t>各镇、办事处，</w:t>
      </w:r>
      <w:r>
        <w:rPr>
          <w:rFonts w:hint="eastAsia" w:ascii="仿宋_GB2312" w:hAnsi="华文中宋" w:eastAsia="仿宋_GB2312"/>
          <w:color w:val="auto"/>
          <w:sz w:val="32"/>
          <w:szCs w:val="32"/>
          <w:lang w:eastAsia="zh-CN"/>
        </w:rPr>
        <w:t>新东区，</w:t>
      </w:r>
      <w:r>
        <w:rPr>
          <w:rFonts w:hint="eastAsia" w:ascii="仿宋_GB2312" w:hAnsi="华文中宋" w:eastAsia="仿宋_GB2312"/>
          <w:color w:val="auto"/>
          <w:sz w:val="32"/>
          <w:szCs w:val="32"/>
        </w:rPr>
        <w:t>区政府</w:t>
      </w:r>
      <w:r>
        <w:rPr>
          <w:rFonts w:hint="eastAsia" w:ascii="仿宋_GB2312" w:hAnsi="华文中宋" w:eastAsia="仿宋_GB2312"/>
          <w:color w:val="auto"/>
          <w:sz w:val="32"/>
          <w:szCs w:val="32"/>
          <w:lang w:eastAsia="zh-CN"/>
        </w:rPr>
        <w:t>各</w:t>
      </w:r>
      <w:r>
        <w:rPr>
          <w:rFonts w:hint="eastAsia" w:ascii="仿宋_GB2312" w:hAnsi="华文中宋" w:eastAsia="仿宋_GB2312"/>
          <w:color w:val="auto"/>
          <w:sz w:val="32"/>
          <w:szCs w:val="32"/>
          <w:lang w:val="en-US" w:eastAsia="zh-CN"/>
        </w:rPr>
        <w:t>有关</w:t>
      </w:r>
      <w:r>
        <w:rPr>
          <w:rFonts w:hint="eastAsia" w:ascii="仿宋_GB2312" w:hAnsi="华文中宋" w:eastAsia="仿宋_GB2312"/>
          <w:color w:val="auto"/>
          <w:sz w:val="32"/>
          <w:szCs w:val="32"/>
        </w:rPr>
        <w:t>部门</w:t>
      </w:r>
      <w:r>
        <w:rPr>
          <w:rFonts w:hint="eastAsia" w:ascii="仿宋_GB2312" w:hAnsi="华文中宋"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cs="Times New Roman"/>
          <w:sz w:val="32"/>
          <w:szCs w:val="32"/>
        </w:rPr>
        <w:t>《红旗区推动经济高质量发展奖励办法（试行）》</w:t>
      </w:r>
      <w:r>
        <w:rPr>
          <w:rFonts w:hint="eastAsia" w:ascii="仿宋_GB2312" w:eastAsia="仿宋_GB2312"/>
          <w:sz w:val="32"/>
          <w:szCs w:val="32"/>
        </w:rPr>
        <w:t>已经区政府</w:t>
      </w:r>
      <w:r>
        <w:rPr>
          <w:rFonts w:hint="eastAsia" w:ascii="仿宋_GB2312" w:eastAsia="仿宋_GB2312"/>
          <w:sz w:val="32"/>
          <w:szCs w:val="32"/>
          <w:lang w:eastAsia="zh-CN"/>
        </w:rPr>
        <w:t>第</w:t>
      </w:r>
      <w:r>
        <w:rPr>
          <w:rFonts w:hint="eastAsia" w:ascii="仿宋_GB2312" w:eastAsia="仿宋_GB2312"/>
          <w:sz w:val="32"/>
          <w:szCs w:val="32"/>
          <w:lang w:val="en-US" w:eastAsia="zh-CN"/>
        </w:rPr>
        <w:t>92次常务会</w:t>
      </w:r>
      <w:r>
        <w:rPr>
          <w:rFonts w:hint="eastAsia" w:ascii="仿宋_GB2312" w:eastAsia="仿宋_GB2312"/>
          <w:sz w:val="32"/>
          <w:szCs w:val="32"/>
        </w:rPr>
        <w:t>研究同意，现印发给你们，请认真贯彻实施。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r>
        <w:rPr>
          <w:rFonts w:hint="eastAsia" w:ascii="仿宋_GB2312" w:eastAsia="仿宋_GB2312"/>
          <w:sz w:val="32"/>
          <w:szCs w:val="32"/>
        </w:rPr>
        <w:t xml:space="preserve">    </w:t>
      </w:r>
    </w:p>
    <w:p>
      <w:pPr>
        <w:pStyle w:val="10"/>
        <w:keepNext w:val="0"/>
        <w:keepLines w:val="0"/>
        <w:pageBreakBefore w:val="0"/>
        <w:widowControl w:val="0"/>
        <w:kinsoku/>
        <w:wordWrap/>
        <w:overflowPunct/>
        <w:topLinePunct w:val="0"/>
        <w:autoSpaceDE/>
        <w:autoSpaceDN/>
        <w:bidi w:val="0"/>
        <w:adjustRightInd/>
        <w:snapToGrid/>
        <w:spacing w:after="0"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ascii="仿宋_GB2312" w:eastAsia="仿宋_GB2312"/>
          <w:sz w:val="32"/>
          <w:szCs w:val="32"/>
        </w:rPr>
      </w:pPr>
      <w:r>
        <w:rPr>
          <w:rFonts w:hint="eastAsia" w:ascii="仿宋_GB2312" w:eastAsia="仿宋_GB2312"/>
          <w:sz w:val="32"/>
          <w:szCs w:val="32"/>
        </w:rPr>
        <w:t>红旗区人民政府</w:t>
      </w:r>
    </w:p>
    <w:p>
      <w:pPr>
        <w:pStyle w:val="10"/>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20</w:t>
      </w:r>
      <w:r>
        <w:rPr>
          <w:rFonts w:hint="eastAsia" w:ascii="仿宋_GB2312" w:eastAsia="仿宋_GB2312"/>
          <w:sz w:val="32"/>
          <w:szCs w:val="32"/>
          <w:lang w:val="en-US" w:eastAsia="zh-CN"/>
        </w:rPr>
        <w:t>22</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24</w:t>
      </w:r>
      <w:r>
        <w:rPr>
          <w:rFonts w:hint="eastAsia" w:ascii="仿宋_GB2312" w:eastAsia="仿宋_GB2312"/>
          <w:sz w:val="32"/>
          <w:szCs w:val="32"/>
        </w:rPr>
        <w:t>日</w:t>
      </w:r>
    </w:p>
    <w:p>
      <w:pPr>
        <w:pStyle w:val="11"/>
        <w:rPr>
          <w:rFonts w:hint="eastAsia"/>
          <w:color w:val="auto"/>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color w:val="auto"/>
          <w:sz w:val="44"/>
          <w:szCs w:val="44"/>
          <w:lang w:eastAsia="zh-CN"/>
        </w:rPr>
        <w:t>红旗区推动经济高质量发展奖励办法（试行）</w:t>
      </w:r>
    </w:p>
    <w:p>
      <w:pPr>
        <w:keepNext w:val="0"/>
        <w:keepLines w:val="0"/>
        <w:pageBreakBefore w:val="0"/>
        <w:widowControl w:val="0"/>
        <w:kinsoku/>
        <w:wordWrap/>
        <w:overflowPunct/>
        <w:topLinePunct w:val="0"/>
        <w:autoSpaceDE/>
        <w:autoSpaceDN/>
        <w:bidi w:val="0"/>
        <w:spacing w:line="600" w:lineRule="exact"/>
        <w:ind w:left="0" w:firstLine="640" w:firstLineChars="200"/>
        <w:jc w:val="both"/>
        <w:textAlignment w:val="auto"/>
        <w:rPr>
          <w:rFonts w:hint="eastAsia" w:ascii="方正小标宋简体" w:eastAsia="方正小标宋简体"/>
          <w:snapToGrid/>
          <w:spacing w:val="0"/>
          <w:kern w:val="2"/>
          <w:sz w:val="32"/>
          <w:szCs w:val="32"/>
          <w:lang w:val="en-US" w:eastAsia="zh-CN"/>
        </w:rPr>
      </w:pPr>
    </w:p>
    <w:p>
      <w:pPr>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为贯彻落实《国务院关于印发&lt;中国制造2025&gt;的通知》（国发〔2015〕28号）《中共新乡市委 新乡市人民政府关于大力开展 “一招四引”工作的实施意见》（新发〔2016〕22 号）《新乡市人民政府关于新乡市支持制造业转型发展的若干意见》（新政文〔2018〕15 号）等文件精神，结合红旗区实际，特制定本办法。</w:t>
      </w:r>
    </w:p>
    <w:p>
      <w:pPr>
        <w:pStyle w:val="2"/>
        <w:keepNext w:val="0"/>
        <w:keepLines w:val="0"/>
        <w:pageBreakBefore w:val="0"/>
        <w:widowControl w:val="0"/>
        <w:numPr>
          <w:ilvl w:val="0"/>
          <w:numId w:val="1"/>
        </w:numPr>
        <w:kinsoku/>
        <w:wordWrap/>
        <w:overflowPunct/>
        <w:topLinePunct w:val="0"/>
        <w:bidi w:val="0"/>
        <w:adjustRightInd w:val="0"/>
        <w:snapToGrid w:val="0"/>
        <w:spacing w:before="0" w:after="0" w:line="600"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 xml:space="preserve"> </w:t>
      </w:r>
      <w:r>
        <w:rPr>
          <w:rFonts w:hint="eastAsia" w:ascii="仿宋_GB2312" w:hAnsi="仿宋_GB2312" w:eastAsia="仿宋_GB2312" w:cs="仿宋_GB2312"/>
          <w:b w:val="0"/>
          <w:bCs w:val="0"/>
          <w:color w:val="auto"/>
          <w:kern w:val="2"/>
          <w:sz w:val="32"/>
          <w:szCs w:val="32"/>
          <w:u w:val="none"/>
          <w:lang w:eastAsia="zh-CN"/>
        </w:rPr>
        <w:t>采取租用政府标准厂房生产经营的，</w:t>
      </w:r>
      <w:r>
        <w:rPr>
          <w:rFonts w:hint="eastAsia" w:ascii="仿宋_GB2312" w:hAnsi="仿宋_GB2312" w:eastAsia="仿宋_GB2312" w:cs="仿宋_GB2312"/>
          <w:b w:val="0"/>
          <w:bCs w:val="0"/>
          <w:color w:val="auto"/>
          <w:kern w:val="2"/>
          <w:sz w:val="32"/>
          <w:szCs w:val="32"/>
          <w:u w:val="none"/>
          <w:lang w:val="en-US" w:eastAsia="zh-CN"/>
        </w:rPr>
        <w:t>根据区级贡献考核，最高补贴前3年房屋租金（租金需先缴后返）。</w:t>
      </w:r>
    </w:p>
    <w:p>
      <w:pPr>
        <w:pStyle w:val="2"/>
        <w:keepNext w:val="0"/>
        <w:keepLines w:val="0"/>
        <w:pageBreakBefore w:val="0"/>
        <w:widowControl w:val="0"/>
        <w:numPr>
          <w:numId w:val="0"/>
        </w:numPr>
        <w:kinsoku/>
        <w:wordWrap/>
        <w:overflowPunct/>
        <w:topLinePunct w:val="0"/>
        <w:bidi w:val="0"/>
        <w:adjustRightInd w:val="0"/>
        <w:snapToGrid w:val="0"/>
        <w:spacing w:before="0" w:after="0" w:line="600" w:lineRule="exact"/>
        <w:ind w:leftChars="200"/>
        <w:jc w:val="both"/>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（参照</w:t>
      </w:r>
      <w:r>
        <w:rPr>
          <w:rFonts w:hint="eastAsia" w:ascii="仿宋_GB2312" w:eastAsia="仿宋_GB2312"/>
          <w:b w:val="0"/>
          <w:bCs w:val="0"/>
          <w:color w:val="auto"/>
          <w:sz w:val="32"/>
          <w:szCs w:val="32"/>
          <w:u w:val="none"/>
        </w:rPr>
        <w:t>红旗区招商优惠政策2019出台</w:t>
      </w:r>
      <w:r>
        <w:rPr>
          <w:rFonts w:hint="eastAsia" w:ascii="仿宋_GB2312" w:hAnsi="仿宋_GB2312" w:eastAsia="仿宋_GB2312" w:cs="仿宋_GB2312"/>
          <w:b w:val="0"/>
          <w:bCs w:val="0"/>
          <w:color w:val="auto"/>
          <w:sz w:val="32"/>
          <w:szCs w:val="32"/>
          <w:u w:val="none"/>
        </w:rPr>
        <w:t>）</w:t>
      </w:r>
    </w:p>
    <w:p>
      <w:pPr>
        <w:pStyle w:val="2"/>
        <w:keepNext w:val="0"/>
        <w:keepLines w:val="0"/>
        <w:pageBreakBefore w:val="0"/>
        <w:widowControl w:val="0"/>
        <w:numPr>
          <w:ilvl w:val="0"/>
          <w:numId w:val="2"/>
        </w:numPr>
        <w:kinsoku/>
        <w:wordWrap/>
        <w:overflowPunct/>
        <w:topLinePunct w:val="0"/>
        <w:bidi w:val="0"/>
        <w:adjustRightInd w:val="0"/>
        <w:snapToGrid w:val="0"/>
        <w:spacing w:before="0" w:after="0" w:line="600" w:lineRule="exact"/>
        <w:ind w:firstLine="640" w:firstLineChars="200"/>
        <w:jc w:val="both"/>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lang w:val="en-US" w:eastAsia="zh-CN"/>
        </w:rPr>
        <w:t xml:space="preserve"> </w:t>
      </w:r>
      <w:r>
        <w:rPr>
          <w:rFonts w:hint="eastAsia" w:ascii="仿宋_GB2312" w:hAnsi="仿宋_GB2312" w:eastAsia="仿宋_GB2312" w:cs="仿宋_GB2312"/>
          <w:b w:val="0"/>
          <w:bCs w:val="0"/>
          <w:color w:val="auto"/>
          <w:kern w:val="2"/>
          <w:sz w:val="32"/>
          <w:szCs w:val="32"/>
          <w:u w:val="none"/>
        </w:rPr>
        <w:t>对</w:t>
      </w:r>
      <w:r>
        <w:rPr>
          <w:rFonts w:hint="eastAsia" w:ascii="仿宋_GB2312" w:hAnsi="仿宋_GB2312" w:eastAsia="仿宋_GB2312" w:cs="仿宋_GB2312"/>
          <w:b w:val="0"/>
          <w:bCs w:val="0"/>
          <w:color w:val="auto"/>
          <w:kern w:val="2"/>
          <w:sz w:val="32"/>
          <w:szCs w:val="32"/>
          <w:u w:val="none"/>
          <w:lang w:eastAsia="zh-CN"/>
        </w:rPr>
        <w:t>符合</w:t>
      </w:r>
      <w:r>
        <w:rPr>
          <w:rFonts w:hint="eastAsia" w:ascii="仿宋_GB2312" w:hAnsi="仿宋_GB2312" w:eastAsia="仿宋_GB2312" w:cs="仿宋_GB2312"/>
          <w:b w:val="0"/>
          <w:bCs w:val="0"/>
          <w:color w:val="auto"/>
          <w:kern w:val="2"/>
          <w:sz w:val="32"/>
          <w:szCs w:val="32"/>
          <w:u w:val="none"/>
        </w:rPr>
        <w:t>我区主导产业的工业企业，自落位起可享受第1-</w:t>
      </w:r>
      <w:r>
        <w:rPr>
          <w:rFonts w:ascii="仿宋_GB2312" w:hAnsi="仿宋_GB2312" w:eastAsia="仿宋_GB2312" w:cs="仿宋_GB2312"/>
          <w:b w:val="0"/>
          <w:bCs w:val="0"/>
          <w:color w:val="auto"/>
          <w:kern w:val="2"/>
          <w:sz w:val="32"/>
          <w:szCs w:val="32"/>
          <w:u w:val="none"/>
        </w:rPr>
        <w:t>2</w:t>
      </w:r>
      <w:r>
        <w:rPr>
          <w:rFonts w:hint="eastAsia" w:ascii="仿宋_GB2312" w:hAnsi="仿宋_GB2312" w:eastAsia="仿宋_GB2312" w:cs="仿宋_GB2312"/>
          <w:b w:val="0"/>
          <w:bCs w:val="0"/>
          <w:color w:val="auto"/>
          <w:kern w:val="2"/>
          <w:sz w:val="32"/>
          <w:szCs w:val="32"/>
          <w:u w:val="none"/>
        </w:rPr>
        <w:t>年</w:t>
      </w:r>
      <w:r>
        <w:rPr>
          <w:rFonts w:hint="eastAsia" w:ascii="仿宋_GB2312" w:hAnsi="仿宋_GB2312" w:eastAsia="仿宋_GB2312" w:cs="仿宋_GB2312"/>
          <w:b w:val="0"/>
          <w:bCs w:val="0"/>
          <w:color w:val="auto"/>
          <w:sz w:val="32"/>
          <w:szCs w:val="32"/>
          <w:u w:val="none"/>
        </w:rPr>
        <w:t>区级贡献</w:t>
      </w:r>
      <w:r>
        <w:rPr>
          <w:rFonts w:hint="eastAsia" w:ascii="仿宋_GB2312" w:hAnsi="仿宋_GB2312" w:eastAsia="仿宋_GB2312" w:cs="仿宋_GB2312"/>
          <w:b w:val="0"/>
          <w:bCs w:val="0"/>
          <w:color w:val="auto"/>
          <w:kern w:val="2"/>
          <w:sz w:val="32"/>
          <w:szCs w:val="32"/>
          <w:u w:val="none"/>
        </w:rPr>
        <w:t>100%的扶持，第</w:t>
      </w:r>
      <w:r>
        <w:rPr>
          <w:rFonts w:ascii="仿宋_GB2312" w:hAnsi="仿宋_GB2312" w:eastAsia="仿宋_GB2312" w:cs="仿宋_GB2312"/>
          <w:b w:val="0"/>
          <w:bCs w:val="0"/>
          <w:color w:val="auto"/>
          <w:kern w:val="2"/>
          <w:sz w:val="32"/>
          <w:szCs w:val="32"/>
          <w:u w:val="none"/>
        </w:rPr>
        <w:t>3</w:t>
      </w:r>
      <w:r>
        <w:rPr>
          <w:rFonts w:hint="eastAsia" w:ascii="仿宋_GB2312" w:hAnsi="仿宋_GB2312" w:eastAsia="仿宋_GB2312" w:cs="仿宋_GB2312"/>
          <w:b w:val="0"/>
          <w:bCs w:val="0"/>
          <w:color w:val="auto"/>
          <w:kern w:val="2"/>
          <w:sz w:val="32"/>
          <w:szCs w:val="32"/>
          <w:u w:val="none"/>
        </w:rPr>
        <w:t>-5年</w:t>
      </w:r>
      <w:r>
        <w:rPr>
          <w:rFonts w:hint="eastAsia" w:ascii="仿宋_GB2312" w:hAnsi="仿宋_GB2312" w:eastAsia="仿宋_GB2312" w:cs="仿宋_GB2312"/>
          <w:b w:val="0"/>
          <w:bCs w:val="0"/>
          <w:color w:val="auto"/>
          <w:sz w:val="32"/>
          <w:szCs w:val="32"/>
          <w:u w:val="none"/>
        </w:rPr>
        <w:t>区级贡献</w:t>
      </w:r>
      <w:r>
        <w:rPr>
          <w:rFonts w:hint="eastAsia" w:ascii="仿宋_GB2312" w:hAnsi="仿宋_GB2312" w:eastAsia="仿宋_GB2312" w:cs="仿宋_GB2312"/>
          <w:b w:val="0"/>
          <w:bCs w:val="0"/>
          <w:color w:val="auto"/>
          <w:kern w:val="2"/>
          <w:sz w:val="32"/>
          <w:szCs w:val="32"/>
          <w:u w:val="none"/>
        </w:rPr>
        <w:t>50%的扶持</w:t>
      </w:r>
      <w:r>
        <w:rPr>
          <w:rFonts w:hint="eastAsia" w:ascii="仿宋_GB2312" w:hAnsi="仿宋_GB2312" w:eastAsia="仿宋_GB2312" w:cs="仿宋_GB2312"/>
          <w:b w:val="0"/>
          <w:bCs w:val="0"/>
          <w:color w:val="auto"/>
          <w:kern w:val="2"/>
          <w:sz w:val="32"/>
          <w:szCs w:val="32"/>
          <w:u w:val="none"/>
          <w:lang w:eastAsia="zh-CN"/>
        </w:rPr>
        <w:t>。</w:t>
      </w:r>
    </w:p>
    <w:p>
      <w:pPr>
        <w:pStyle w:val="2"/>
        <w:keepNext w:val="0"/>
        <w:keepLines w:val="0"/>
        <w:pageBreakBefore w:val="0"/>
        <w:widowControl w:val="0"/>
        <w:numPr>
          <w:numId w:val="0"/>
        </w:numPr>
        <w:kinsoku/>
        <w:wordWrap/>
        <w:overflowPunct/>
        <w:topLinePunct w:val="0"/>
        <w:bidi w:val="0"/>
        <w:adjustRightInd w:val="0"/>
        <w:snapToGrid w:val="0"/>
        <w:spacing w:before="0" w:after="0" w:line="600" w:lineRule="exact"/>
        <w:ind w:firstLine="640" w:firstLineChars="200"/>
        <w:jc w:val="both"/>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（参照</w:t>
      </w:r>
      <w:r>
        <w:rPr>
          <w:rFonts w:hint="eastAsia" w:ascii="仿宋_GB2312" w:eastAsia="仿宋_GB2312"/>
          <w:b w:val="0"/>
          <w:bCs w:val="0"/>
          <w:color w:val="auto"/>
          <w:sz w:val="32"/>
          <w:szCs w:val="32"/>
          <w:u w:val="none"/>
        </w:rPr>
        <w:t>红旗区招商优惠政策2019出台</w:t>
      </w:r>
      <w:r>
        <w:rPr>
          <w:rFonts w:hint="eastAsia" w:ascii="仿宋_GB2312" w:hAnsi="仿宋_GB2312" w:eastAsia="仿宋_GB2312" w:cs="仿宋_GB2312"/>
          <w:b w:val="0"/>
          <w:bCs w:val="0"/>
          <w:color w:val="auto"/>
          <w:sz w:val="32"/>
          <w:szCs w:val="32"/>
          <w:u w:val="none"/>
        </w:rPr>
        <w:t>）</w:t>
      </w:r>
    </w:p>
    <w:p>
      <w:pPr>
        <w:pStyle w:val="2"/>
        <w:keepNext w:val="0"/>
        <w:keepLines w:val="0"/>
        <w:pageBreakBefore w:val="0"/>
        <w:widowControl w:val="0"/>
        <w:numPr>
          <w:ilvl w:val="0"/>
          <w:numId w:val="0"/>
        </w:numPr>
        <w:kinsoku/>
        <w:wordWrap/>
        <w:overflowPunct/>
        <w:topLinePunct w:val="0"/>
        <w:bidi w:val="0"/>
        <w:adjustRightInd w:val="0"/>
        <w:snapToGrid w:val="0"/>
        <w:spacing w:before="0" w:after="0" w:line="600" w:lineRule="exact"/>
        <w:ind w:firstLine="640" w:firstLineChars="200"/>
        <w:jc w:val="both"/>
        <w:textAlignment w:val="auto"/>
        <w:rPr>
          <w:rFonts w:hint="default"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前两条优惠政策企业可选择其中一条，不同时享受。</w:t>
      </w:r>
    </w:p>
    <w:p>
      <w:pPr>
        <w:pStyle w:val="2"/>
        <w:keepNext w:val="0"/>
        <w:keepLines w:val="0"/>
        <w:pageBreakBefore w:val="0"/>
        <w:widowControl w:val="0"/>
        <w:numPr>
          <w:ilvl w:val="0"/>
          <w:numId w:val="2"/>
        </w:numPr>
        <w:kinsoku/>
        <w:wordWrap/>
        <w:overflowPunct/>
        <w:topLinePunct w:val="0"/>
        <w:bidi w:val="0"/>
        <w:adjustRightInd w:val="0"/>
        <w:snapToGrid w:val="0"/>
        <w:spacing w:before="0" w:after="0" w:line="600" w:lineRule="exact"/>
        <w:ind w:left="0" w:leftChars="0" w:firstLine="640" w:firstLineChars="200"/>
        <w:jc w:val="both"/>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lang w:val="en-US" w:eastAsia="zh-CN"/>
        </w:rPr>
        <w:t xml:space="preserve"> </w:t>
      </w:r>
      <w:r>
        <w:rPr>
          <w:rFonts w:hint="eastAsia" w:ascii="仿宋_GB2312" w:hAnsi="仿宋_GB2312" w:eastAsia="仿宋_GB2312" w:cs="仿宋_GB2312"/>
          <w:b w:val="0"/>
          <w:bCs w:val="0"/>
          <w:color w:val="auto"/>
          <w:kern w:val="2"/>
          <w:sz w:val="32"/>
          <w:szCs w:val="32"/>
          <w:u w:val="none"/>
          <w:lang w:eastAsia="zh-CN"/>
        </w:rPr>
        <w:t>工业类企业</w:t>
      </w:r>
      <w:r>
        <w:rPr>
          <w:rFonts w:hint="eastAsia" w:ascii="仿宋_GB2312" w:hAnsi="仿宋_GB2312" w:eastAsia="仿宋_GB2312" w:cs="仿宋_GB2312"/>
          <w:b w:val="0"/>
          <w:bCs w:val="0"/>
          <w:color w:val="auto"/>
          <w:sz w:val="32"/>
          <w:szCs w:val="32"/>
          <w:u w:val="none"/>
          <w:lang w:val="en-US" w:eastAsia="zh-CN"/>
        </w:rPr>
        <w:t>亩均税收达到15万元或者每平方厂房税收达到260元以上的工业企业，</w:t>
      </w:r>
      <w:r>
        <w:rPr>
          <w:rFonts w:hint="eastAsia" w:ascii="仿宋_GB2312" w:hAnsi="仿宋_GB2312" w:eastAsia="仿宋_GB2312" w:cs="仿宋_GB2312"/>
          <w:b w:val="0"/>
          <w:bCs w:val="0"/>
          <w:color w:val="auto"/>
          <w:sz w:val="32"/>
          <w:szCs w:val="32"/>
          <w:u w:val="none"/>
        </w:rPr>
        <w:t>按照其</w:t>
      </w:r>
      <w:r>
        <w:rPr>
          <w:rFonts w:hint="eastAsia" w:ascii="仿宋_GB2312" w:hAnsi="仿宋_GB2312" w:eastAsia="仿宋_GB2312" w:cs="仿宋_GB2312"/>
          <w:b w:val="0"/>
          <w:bCs w:val="0"/>
          <w:color w:val="auto"/>
          <w:sz w:val="32"/>
          <w:szCs w:val="32"/>
          <w:u w:val="none"/>
          <w:lang w:eastAsia="zh-CN"/>
        </w:rPr>
        <w:t>区级贡献</w:t>
      </w:r>
      <w:r>
        <w:rPr>
          <w:rFonts w:hint="eastAsia" w:ascii="仿宋_GB2312" w:hAnsi="仿宋_GB2312" w:eastAsia="仿宋_GB2312" w:cs="仿宋_GB2312"/>
          <w:b w:val="0"/>
          <w:bCs w:val="0"/>
          <w:color w:val="auto"/>
          <w:sz w:val="32"/>
          <w:szCs w:val="32"/>
          <w:u w:val="none"/>
        </w:rPr>
        <w:t>较</w:t>
      </w:r>
      <w:r>
        <w:rPr>
          <w:rFonts w:hint="eastAsia" w:ascii="仿宋_GB2312" w:hAnsi="仿宋_GB2312" w:eastAsia="仿宋_GB2312" w:cs="仿宋_GB2312"/>
          <w:b w:val="0"/>
          <w:bCs w:val="0"/>
          <w:color w:val="auto"/>
          <w:sz w:val="32"/>
          <w:szCs w:val="32"/>
          <w:u w:val="none"/>
          <w:lang w:val="en-US" w:eastAsia="zh-CN"/>
        </w:rPr>
        <w:t>本政策执行</w:t>
      </w:r>
      <w:r>
        <w:rPr>
          <w:rFonts w:hint="eastAsia" w:ascii="仿宋_GB2312" w:hAnsi="仿宋_GB2312" w:eastAsia="仿宋_GB2312" w:cs="仿宋_GB2312"/>
          <w:b w:val="0"/>
          <w:bCs w:val="0"/>
          <w:color w:val="auto"/>
          <w:sz w:val="32"/>
          <w:szCs w:val="32"/>
          <w:u w:val="none"/>
          <w:lang w:eastAsia="zh-CN"/>
        </w:rPr>
        <w:t>后</w:t>
      </w:r>
      <w:r>
        <w:rPr>
          <w:rFonts w:hint="eastAsia" w:ascii="仿宋_GB2312" w:hAnsi="仿宋_GB2312" w:eastAsia="仿宋_GB2312" w:cs="仿宋_GB2312"/>
          <w:b w:val="0"/>
          <w:bCs w:val="0"/>
          <w:color w:val="auto"/>
          <w:sz w:val="32"/>
          <w:szCs w:val="32"/>
          <w:u w:val="none"/>
        </w:rPr>
        <w:t>最高额度增量部分的</w:t>
      </w:r>
      <w:r>
        <w:rPr>
          <w:rFonts w:hint="eastAsia" w:ascii="仿宋_GB2312" w:hAnsi="仿宋_GB2312" w:eastAsia="仿宋_GB2312" w:cs="仿宋_GB2312"/>
          <w:b w:val="0"/>
          <w:bCs w:val="0"/>
          <w:color w:val="auto"/>
          <w:sz w:val="32"/>
          <w:szCs w:val="32"/>
          <w:u w:val="none"/>
          <w:lang w:val="en-US" w:eastAsia="zh-CN"/>
        </w:rPr>
        <w:t>5</w:t>
      </w:r>
      <w:r>
        <w:rPr>
          <w:rFonts w:hint="eastAsia" w:ascii="仿宋_GB2312" w:hAnsi="仿宋_GB2312" w:eastAsia="仿宋_GB2312" w:cs="仿宋_GB2312"/>
          <w:b w:val="0"/>
          <w:bCs w:val="0"/>
          <w:color w:val="auto"/>
          <w:sz w:val="32"/>
          <w:szCs w:val="32"/>
          <w:u w:val="none"/>
        </w:rPr>
        <w:t>0%进行扶持</w:t>
      </w:r>
      <w:r>
        <w:rPr>
          <w:rFonts w:hint="eastAsia" w:ascii="仿宋_GB2312" w:hAnsi="仿宋_GB2312" w:eastAsia="仿宋_GB2312" w:cs="仿宋_GB2312"/>
          <w:b w:val="0"/>
          <w:bCs w:val="0"/>
          <w:color w:val="auto"/>
          <w:sz w:val="32"/>
          <w:szCs w:val="32"/>
          <w:u w:val="none"/>
          <w:lang w:eastAsia="zh-CN"/>
        </w:rPr>
        <w:t>；服务类企业（不包括房地产类与建筑业类企业）</w:t>
      </w:r>
      <w:r>
        <w:rPr>
          <w:rFonts w:hint="eastAsia" w:ascii="仿宋_GB2312" w:hAnsi="仿宋_GB2312" w:eastAsia="仿宋_GB2312" w:cs="仿宋_GB2312"/>
          <w:b w:val="0"/>
          <w:bCs w:val="0"/>
          <w:color w:val="auto"/>
          <w:sz w:val="32"/>
          <w:szCs w:val="32"/>
          <w:u w:val="none"/>
        </w:rPr>
        <w:t>年区级贡献</w:t>
      </w:r>
      <w:r>
        <w:rPr>
          <w:rFonts w:hint="eastAsia" w:ascii="仿宋_GB2312" w:hAnsi="仿宋_GB2312" w:eastAsia="仿宋_GB2312" w:cs="仿宋_GB2312"/>
          <w:b w:val="0"/>
          <w:bCs w:val="0"/>
          <w:color w:val="auto"/>
          <w:sz w:val="32"/>
          <w:szCs w:val="32"/>
          <w:u w:val="none"/>
          <w:lang w:eastAsia="zh-CN"/>
        </w:rPr>
        <w:t>自本政策执行后首次</w:t>
      </w:r>
      <w:r>
        <w:rPr>
          <w:rFonts w:hint="eastAsia" w:ascii="仿宋_GB2312" w:hAnsi="仿宋_GB2312" w:eastAsia="仿宋_GB2312" w:cs="仿宋_GB2312"/>
          <w:b w:val="0"/>
          <w:bCs w:val="0"/>
          <w:color w:val="auto"/>
          <w:sz w:val="32"/>
          <w:szCs w:val="32"/>
          <w:u w:val="none"/>
        </w:rPr>
        <w:t>达到</w:t>
      </w:r>
      <w:r>
        <w:rPr>
          <w:rFonts w:hint="eastAsia" w:ascii="仿宋_GB2312" w:hAnsi="仿宋_GB2312" w:eastAsia="仿宋_GB2312" w:cs="仿宋_GB2312"/>
          <w:b w:val="0"/>
          <w:bCs w:val="0"/>
          <w:color w:val="auto"/>
          <w:sz w:val="32"/>
          <w:szCs w:val="32"/>
          <w:u w:val="none"/>
          <w:lang w:val="en-US" w:eastAsia="zh-CN"/>
        </w:rPr>
        <w:t>20</w:t>
      </w:r>
      <w:r>
        <w:rPr>
          <w:rFonts w:hint="eastAsia" w:ascii="仿宋_GB2312" w:hAnsi="仿宋_GB2312" w:eastAsia="仿宋_GB2312" w:cs="仿宋_GB2312"/>
          <w:b w:val="0"/>
          <w:bCs w:val="0"/>
          <w:color w:val="auto"/>
          <w:sz w:val="32"/>
          <w:szCs w:val="32"/>
          <w:u w:val="none"/>
        </w:rPr>
        <w:t>万元及以上的，区财政按其当年区级贡献额度的</w:t>
      </w:r>
      <w:r>
        <w:rPr>
          <w:rFonts w:hint="eastAsia" w:ascii="仿宋_GB2312" w:hAnsi="仿宋_GB2312" w:eastAsia="仿宋_GB2312" w:cs="仿宋_GB2312"/>
          <w:b w:val="0"/>
          <w:bCs w:val="0"/>
          <w:color w:val="auto"/>
          <w:sz w:val="32"/>
          <w:szCs w:val="32"/>
          <w:u w:val="none"/>
          <w:lang w:val="en-US" w:eastAsia="zh-CN"/>
        </w:rPr>
        <w:t>20</w:t>
      </w:r>
      <w:r>
        <w:rPr>
          <w:rFonts w:hint="eastAsia" w:ascii="仿宋_GB2312" w:hAnsi="仿宋_GB2312" w:eastAsia="仿宋_GB2312" w:cs="仿宋_GB2312"/>
          <w:b w:val="0"/>
          <w:bCs w:val="0"/>
          <w:color w:val="auto"/>
          <w:sz w:val="32"/>
          <w:szCs w:val="32"/>
          <w:u w:val="none"/>
        </w:rPr>
        <w:t>％予以奖励，最高不超过30万元。从</w:t>
      </w:r>
      <w:r>
        <w:rPr>
          <w:rFonts w:hint="eastAsia" w:ascii="仿宋_GB2312" w:hAnsi="仿宋_GB2312" w:eastAsia="仿宋_GB2312" w:cs="仿宋_GB2312"/>
          <w:b w:val="0"/>
          <w:bCs w:val="0"/>
          <w:color w:val="auto"/>
          <w:sz w:val="32"/>
          <w:szCs w:val="32"/>
          <w:u w:val="none"/>
          <w:lang w:eastAsia="zh-CN"/>
        </w:rPr>
        <w:t>奖励后</w:t>
      </w:r>
      <w:r>
        <w:rPr>
          <w:rFonts w:hint="eastAsia" w:ascii="仿宋_GB2312" w:hAnsi="仿宋_GB2312" w:eastAsia="仿宋_GB2312" w:cs="仿宋_GB2312"/>
          <w:b w:val="0"/>
          <w:bCs w:val="0"/>
          <w:color w:val="auto"/>
          <w:sz w:val="32"/>
          <w:szCs w:val="32"/>
          <w:u w:val="none"/>
        </w:rPr>
        <w:t>第二年起，每年按其当年区级贡献额度较</w:t>
      </w:r>
      <w:r>
        <w:rPr>
          <w:rFonts w:hint="eastAsia" w:ascii="仿宋_GB2312" w:hAnsi="仿宋_GB2312" w:eastAsia="仿宋_GB2312" w:cs="仿宋_GB2312"/>
          <w:b w:val="0"/>
          <w:bCs w:val="0"/>
          <w:color w:val="auto"/>
          <w:sz w:val="32"/>
          <w:szCs w:val="32"/>
          <w:u w:val="none"/>
          <w:lang w:val="en-US" w:eastAsia="zh-CN"/>
        </w:rPr>
        <w:t>本政策执行</w:t>
      </w:r>
      <w:r>
        <w:rPr>
          <w:rFonts w:hint="eastAsia" w:ascii="仿宋_GB2312" w:hAnsi="仿宋_GB2312" w:eastAsia="仿宋_GB2312" w:cs="仿宋_GB2312"/>
          <w:b w:val="0"/>
          <w:bCs w:val="0"/>
          <w:color w:val="auto"/>
          <w:sz w:val="32"/>
          <w:szCs w:val="32"/>
          <w:u w:val="none"/>
          <w:lang w:eastAsia="zh-CN"/>
        </w:rPr>
        <w:t>后</w:t>
      </w:r>
      <w:r>
        <w:rPr>
          <w:rFonts w:hint="eastAsia" w:ascii="仿宋_GB2312" w:hAnsi="仿宋_GB2312" w:eastAsia="仿宋_GB2312" w:cs="仿宋_GB2312"/>
          <w:b w:val="0"/>
          <w:bCs w:val="0"/>
          <w:color w:val="auto"/>
          <w:sz w:val="32"/>
          <w:szCs w:val="32"/>
          <w:u w:val="none"/>
        </w:rPr>
        <w:t>最高额度增量部分的20%予以奖励，最高不超过50万元。</w:t>
      </w:r>
      <w:r>
        <w:rPr>
          <w:rFonts w:hint="eastAsia" w:ascii="仿宋_GB2312" w:hAnsi="仿宋_GB2312" w:eastAsia="仿宋_GB2312" w:cs="仿宋_GB2312"/>
          <w:b w:val="0"/>
          <w:bCs w:val="0"/>
          <w:color w:val="auto"/>
          <w:sz w:val="32"/>
          <w:szCs w:val="32"/>
          <w:u w:val="none"/>
          <w:lang w:eastAsia="zh-CN"/>
        </w:rPr>
        <w:t>（在政策期内的新落位企业，不同时享受本政策。）</w:t>
      </w:r>
    </w:p>
    <w:p>
      <w:pPr>
        <w:pStyle w:val="2"/>
        <w:keepNext w:val="0"/>
        <w:keepLines w:val="0"/>
        <w:pageBreakBefore w:val="0"/>
        <w:widowControl w:val="0"/>
        <w:numPr>
          <w:numId w:val="0"/>
        </w:numPr>
        <w:kinsoku/>
        <w:wordWrap/>
        <w:overflowPunct/>
        <w:topLinePunct w:val="0"/>
        <w:bidi w:val="0"/>
        <w:adjustRightInd w:val="0"/>
        <w:snapToGrid w:val="0"/>
        <w:spacing w:before="0" w:after="0" w:line="600" w:lineRule="exact"/>
        <w:ind w:firstLine="640" w:firstLineChars="200"/>
        <w:jc w:val="both"/>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（参照</w:t>
      </w:r>
      <w:r>
        <w:rPr>
          <w:rFonts w:hint="eastAsia" w:ascii="仿宋_GB2312" w:eastAsia="仿宋_GB2312"/>
          <w:b w:val="0"/>
          <w:bCs w:val="0"/>
          <w:color w:val="auto"/>
          <w:sz w:val="32"/>
          <w:szCs w:val="32"/>
          <w:u w:val="none"/>
        </w:rPr>
        <w:t>红旗区招商优惠政策2019出台、</w:t>
      </w:r>
      <w:r>
        <w:rPr>
          <w:rFonts w:hint="eastAsia" w:ascii="仿宋_GB2312" w:hAnsi="仿宋_GB2312" w:eastAsia="仿宋_GB2312" w:cs="仿宋_GB2312"/>
          <w:b w:val="0"/>
          <w:bCs w:val="0"/>
          <w:color w:val="auto"/>
          <w:sz w:val="32"/>
          <w:szCs w:val="32"/>
          <w:u w:val="none"/>
        </w:rPr>
        <w:t>参照</w:t>
      </w:r>
      <w:r>
        <w:rPr>
          <w:rFonts w:hint="eastAsia" w:ascii="仿宋_GB2312" w:hAnsi="仿宋_GB2312" w:eastAsia="仿宋_GB2312" w:cs="仿宋_GB2312"/>
          <w:b w:val="0"/>
          <w:bCs w:val="0"/>
          <w:color w:val="auto"/>
          <w:sz w:val="32"/>
          <w:szCs w:val="32"/>
          <w:u w:val="none"/>
          <w:lang w:eastAsia="zh-CN"/>
        </w:rPr>
        <w:t>《</w:t>
      </w:r>
      <w:r>
        <w:rPr>
          <w:rFonts w:hint="eastAsia" w:ascii="仿宋_GB2312" w:eastAsia="仿宋_GB2312"/>
          <w:b w:val="0"/>
          <w:bCs w:val="0"/>
          <w:color w:val="auto"/>
          <w:sz w:val="32"/>
          <w:szCs w:val="32"/>
          <w:u w:val="none"/>
        </w:rPr>
        <w:t>红旗区鼓励金融及楼宇经济发展专项扶持办法（试行）</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w:t>
      </w:r>
    </w:p>
    <w:p>
      <w:pPr>
        <w:pStyle w:val="2"/>
        <w:keepNext w:val="0"/>
        <w:keepLines w:val="0"/>
        <w:pageBreakBefore w:val="0"/>
        <w:widowControl w:val="0"/>
        <w:numPr>
          <w:numId w:val="0"/>
        </w:numPr>
        <w:kinsoku/>
        <w:wordWrap/>
        <w:overflowPunct/>
        <w:topLinePunct w:val="0"/>
        <w:bidi w:val="0"/>
        <w:adjustRightInd w:val="0"/>
        <w:snapToGrid w:val="0"/>
        <w:spacing w:before="0" w:after="0" w:line="600" w:lineRule="exact"/>
        <w:ind w:firstLine="640" w:firstLineChars="200"/>
        <w:jc w:val="both"/>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lang w:eastAsia="zh-CN"/>
        </w:rPr>
        <w:t>第四条</w:t>
      </w:r>
      <w:r>
        <w:rPr>
          <w:rFonts w:hint="eastAsia" w:ascii="仿宋_GB2312" w:hAnsi="仿宋_GB2312" w:eastAsia="仿宋_GB2312" w:cs="仿宋_GB2312"/>
          <w:b w:val="0"/>
          <w:bCs w:val="0"/>
          <w:color w:val="auto"/>
          <w:sz w:val="32"/>
          <w:szCs w:val="32"/>
          <w:u w:val="none"/>
          <w:lang w:val="en-US" w:eastAsia="zh-CN"/>
        </w:rPr>
        <w:t xml:space="preserve">  </w:t>
      </w:r>
      <w:r>
        <w:rPr>
          <w:rFonts w:hint="eastAsia" w:ascii="仿宋_GB2312" w:hAnsi="仿宋_GB2312" w:eastAsia="仿宋_GB2312" w:cs="仿宋_GB2312"/>
          <w:b w:val="0"/>
          <w:bCs w:val="0"/>
          <w:color w:val="auto"/>
          <w:sz w:val="32"/>
          <w:szCs w:val="32"/>
          <w:u w:val="none"/>
        </w:rPr>
        <w:t>工业企业年</w:t>
      </w:r>
      <w:r>
        <w:rPr>
          <w:rFonts w:hint="eastAsia" w:ascii="仿宋_GB2312" w:hAnsi="仿宋_GB2312" w:eastAsia="仿宋_GB2312" w:cs="仿宋_GB2312"/>
          <w:b w:val="0"/>
          <w:bCs w:val="0"/>
          <w:color w:val="auto"/>
          <w:sz w:val="32"/>
          <w:szCs w:val="32"/>
          <w:u w:val="none"/>
          <w:lang w:eastAsia="zh-CN"/>
        </w:rPr>
        <w:t>营业</w:t>
      </w:r>
      <w:r>
        <w:rPr>
          <w:rFonts w:hint="eastAsia" w:ascii="仿宋_GB2312" w:hAnsi="仿宋_GB2312" w:eastAsia="仿宋_GB2312" w:cs="仿宋_GB2312"/>
          <w:b w:val="0"/>
          <w:bCs w:val="0"/>
          <w:color w:val="auto"/>
          <w:sz w:val="32"/>
          <w:szCs w:val="32"/>
          <w:u w:val="none"/>
        </w:rPr>
        <w:t>收入首次突破 10 亿元的一次性奖励 50万元；首次突破 5 亿元的一次性奖励 30万元；首次突破 3 亿元的一次性奖励 20 万元；首次突破 1亿元的一次性奖励 10万元。</w:t>
      </w:r>
    </w:p>
    <w:p>
      <w:pPr>
        <w:pStyle w:val="2"/>
        <w:keepNext w:val="0"/>
        <w:keepLines w:val="0"/>
        <w:pageBreakBefore w:val="0"/>
        <w:widowControl w:val="0"/>
        <w:kinsoku/>
        <w:wordWrap/>
        <w:overflowPunct/>
        <w:topLinePunct w:val="0"/>
        <w:bidi w:val="0"/>
        <w:adjustRightInd w:val="0"/>
        <w:snapToGrid w:val="0"/>
        <w:spacing w:before="0" w:after="0" w:line="600" w:lineRule="exact"/>
        <w:ind w:left="0" w:leftChars="0" w:firstLine="640" w:firstLineChars="200"/>
        <w:jc w:val="both"/>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lang w:eastAsia="zh-CN"/>
        </w:rPr>
        <w:t>第五条</w:t>
      </w:r>
      <w:r>
        <w:rPr>
          <w:rFonts w:hint="eastAsia" w:ascii="仿宋_GB2312" w:hAnsi="仿宋_GB2312" w:eastAsia="仿宋_GB2312" w:cs="仿宋_GB2312"/>
          <w:b w:val="0"/>
          <w:bCs w:val="0"/>
          <w:color w:val="auto"/>
          <w:sz w:val="32"/>
          <w:szCs w:val="32"/>
          <w:u w:val="none"/>
          <w:lang w:val="en-US" w:eastAsia="zh-CN"/>
        </w:rPr>
        <w:t xml:space="preserve">  </w:t>
      </w:r>
      <w:r>
        <w:rPr>
          <w:rFonts w:hint="eastAsia" w:ascii="仿宋_GB2312" w:hAnsi="仿宋_GB2312" w:eastAsia="仿宋_GB2312" w:cs="仿宋_GB2312"/>
          <w:b w:val="0"/>
          <w:bCs w:val="0"/>
          <w:color w:val="auto"/>
          <w:sz w:val="32"/>
          <w:szCs w:val="32"/>
          <w:u w:val="none"/>
          <w:lang w:eastAsia="zh-CN"/>
        </w:rPr>
        <w:t>省级先进制造业基金</w:t>
      </w:r>
      <w:r>
        <w:rPr>
          <w:rFonts w:hint="eastAsia" w:ascii="仿宋_GB2312" w:hAnsi="仿宋_GB2312" w:eastAsia="仿宋_GB2312" w:cs="仿宋_GB2312"/>
          <w:b w:val="0"/>
          <w:bCs w:val="0"/>
          <w:color w:val="auto"/>
          <w:sz w:val="32"/>
          <w:szCs w:val="32"/>
          <w:u w:val="none"/>
        </w:rPr>
        <w:t>项目按照市级财政支持金额</w:t>
      </w:r>
      <w:r>
        <w:rPr>
          <w:rFonts w:hint="eastAsia" w:ascii="仿宋_GB2312" w:hAnsi="仿宋_GB2312" w:eastAsia="仿宋_GB2312" w:cs="仿宋_GB2312"/>
          <w:b w:val="0"/>
          <w:bCs w:val="0"/>
          <w:color w:val="auto"/>
          <w:sz w:val="32"/>
          <w:szCs w:val="32"/>
          <w:u w:val="none"/>
          <w:lang w:eastAsia="zh-CN"/>
        </w:rPr>
        <w:t>的</w:t>
      </w:r>
      <w:r>
        <w:rPr>
          <w:rFonts w:hint="eastAsia" w:ascii="仿宋_GB2312" w:hAnsi="仿宋_GB2312" w:eastAsia="仿宋_GB2312" w:cs="仿宋_GB2312"/>
          <w:b w:val="0"/>
          <w:bCs w:val="0"/>
          <w:color w:val="auto"/>
          <w:sz w:val="32"/>
          <w:szCs w:val="32"/>
          <w:u w:val="none"/>
        </w:rPr>
        <w:t>50%给予配套支持。</w:t>
      </w:r>
    </w:p>
    <w:p>
      <w:pPr>
        <w:pStyle w:val="2"/>
        <w:keepNext w:val="0"/>
        <w:keepLines w:val="0"/>
        <w:pageBreakBefore w:val="0"/>
        <w:widowControl w:val="0"/>
        <w:kinsoku/>
        <w:wordWrap/>
        <w:overflowPunct/>
        <w:topLinePunct w:val="0"/>
        <w:bidi w:val="0"/>
        <w:adjustRightInd w:val="0"/>
        <w:snapToGrid w:val="0"/>
        <w:spacing w:before="0" w:after="0" w:line="600" w:lineRule="exact"/>
        <w:ind w:left="0" w:leftChars="0" w:firstLine="640" w:firstLineChars="200"/>
        <w:jc w:val="both"/>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（参照</w:t>
      </w:r>
      <w:r>
        <w:rPr>
          <w:rFonts w:hint="eastAsia" w:ascii="仿宋_GB2312" w:eastAsia="仿宋_GB2312"/>
          <w:b w:val="0"/>
          <w:bCs w:val="0"/>
          <w:color w:val="auto"/>
          <w:sz w:val="32"/>
          <w:szCs w:val="32"/>
          <w:u w:val="none"/>
        </w:rPr>
        <w:t>红旗区招商优惠政策2019出台</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numPr>
          <w:ilvl w:val="0"/>
          <w:numId w:val="3"/>
        </w:numPr>
        <w:kinsoku/>
        <w:wordWrap/>
        <w:overflowPunct/>
        <w:topLinePunct w:val="0"/>
        <w:bidi w:val="0"/>
        <w:adjustRightInd w:val="0"/>
        <w:snapToGrid w:val="0"/>
        <w:spacing w:line="600" w:lineRule="exact"/>
        <w:ind w:firstLine="640" w:firstLineChars="200"/>
        <w:jc w:val="both"/>
        <w:textAlignment w:val="auto"/>
        <w:rPr>
          <w:rFonts w:hint="eastAsia" w:ascii="仿宋_GB2312" w:hAnsi="仿宋" w:eastAsia="仿宋_GB2312" w:cs="仿宋"/>
          <w:b w:val="0"/>
          <w:bCs w:val="0"/>
          <w:color w:val="auto"/>
          <w:sz w:val="32"/>
          <w:szCs w:val="32"/>
          <w:u w:val="none"/>
        </w:rPr>
      </w:pPr>
      <w:r>
        <w:rPr>
          <w:rFonts w:hint="eastAsia" w:ascii="仿宋_GB2312" w:hAnsi="仿宋_GB2312" w:eastAsia="仿宋_GB2312" w:cs="仿宋_GB2312"/>
          <w:b w:val="0"/>
          <w:bCs w:val="0"/>
          <w:color w:val="auto"/>
          <w:sz w:val="32"/>
          <w:szCs w:val="32"/>
          <w:u w:val="none"/>
          <w:lang w:val="en-US" w:eastAsia="zh-CN"/>
        </w:rPr>
        <w:t xml:space="preserve"> </w:t>
      </w:r>
      <w:r>
        <w:rPr>
          <w:rFonts w:hint="eastAsia" w:ascii="仿宋_GB2312" w:hAnsi="仿宋" w:eastAsia="仿宋_GB2312" w:cs="仿宋"/>
          <w:b w:val="0"/>
          <w:bCs w:val="0"/>
          <w:color w:val="auto"/>
          <w:sz w:val="32"/>
          <w:szCs w:val="32"/>
          <w:u w:val="none"/>
        </w:rPr>
        <w:t>为鼓励够条件企业积极申请进入“四上”企业库，对在考核期内入库的“四上”企业由区政府给予2万元奖励；次年，若该企业增速保持正增长且不低于全区本行业平均增速，区政府再给予企业2万元奖励；连续三年正增长且高于全区本行业平均增速的企业将被评为红旗区“优秀成长型企业”，在全区通报表扬并在红旗区政府网站上公示。</w:t>
      </w:r>
    </w:p>
    <w:p>
      <w:pPr>
        <w:keepNext w:val="0"/>
        <w:keepLines w:val="0"/>
        <w:pageBreakBefore w:val="0"/>
        <w:widowControl w:val="0"/>
        <w:numPr>
          <w:numId w:val="0"/>
        </w:numPr>
        <w:kinsoku/>
        <w:wordWrap/>
        <w:overflowPunct/>
        <w:topLinePunct w:val="0"/>
        <w:bidi w:val="0"/>
        <w:adjustRightInd w:val="0"/>
        <w:snapToGrid w:val="0"/>
        <w:spacing w:line="600" w:lineRule="exact"/>
        <w:ind w:firstLine="640" w:firstLineChars="200"/>
        <w:jc w:val="both"/>
        <w:textAlignment w:val="auto"/>
        <w:rPr>
          <w:rFonts w:hint="eastAsia" w:ascii="仿宋_GB2312" w:hAnsi="仿宋" w:eastAsia="仿宋_GB2312" w:cs="仿宋"/>
          <w:b w:val="0"/>
          <w:bCs w:val="0"/>
          <w:color w:val="auto"/>
          <w:sz w:val="32"/>
          <w:szCs w:val="32"/>
          <w:u w:val="none"/>
          <w:lang w:eastAsia="zh-CN"/>
        </w:rPr>
      </w:pPr>
      <w:r>
        <w:rPr>
          <w:rFonts w:hint="eastAsia" w:ascii="仿宋_GB2312" w:hAnsi="仿宋" w:eastAsia="仿宋_GB2312" w:cs="仿宋"/>
          <w:b w:val="0"/>
          <w:bCs w:val="0"/>
          <w:color w:val="auto"/>
          <w:sz w:val="32"/>
          <w:szCs w:val="32"/>
          <w:u w:val="none"/>
          <w:lang w:eastAsia="zh-CN"/>
        </w:rPr>
        <w:t>（来源</w:t>
      </w:r>
      <w:r>
        <w:rPr>
          <w:rFonts w:hint="eastAsia" w:ascii="仿宋_GB2312" w:hAnsi="仿宋" w:eastAsia="仿宋_GB2312" w:cs="仿宋"/>
          <w:b w:val="0"/>
          <w:bCs w:val="0"/>
          <w:color w:val="auto"/>
          <w:sz w:val="32"/>
          <w:szCs w:val="32"/>
          <w:u w:val="none"/>
        </w:rPr>
        <w:t>《红旗区固定资产投资项目及“四上”企业入库工作考核奖惩实施办法》</w:t>
      </w:r>
      <w:r>
        <w:rPr>
          <w:rFonts w:hint="eastAsia" w:ascii="仿宋_GB2312" w:hAnsi="仿宋" w:eastAsia="仿宋_GB2312" w:cs="仿宋"/>
          <w:b w:val="0"/>
          <w:bCs w:val="0"/>
          <w:color w:val="auto"/>
          <w:sz w:val="32"/>
          <w:szCs w:val="32"/>
          <w:u w:val="none"/>
          <w:lang w:eastAsia="zh-CN"/>
        </w:rPr>
        <w:t>）</w:t>
      </w:r>
    </w:p>
    <w:p>
      <w:pPr>
        <w:keepNext w:val="0"/>
        <w:keepLines w:val="0"/>
        <w:pageBreakBefore w:val="0"/>
        <w:widowControl w:val="0"/>
        <w:numPr>
          <w:ilvl w:val="0"/>
          <w:numId w:val="3"/>
        </w:numPr>
        <w:kinsoku/>
        <w:wordWrap/>
        <w:overflowPunct/>
        <w:topLinePunct w:val="0"/>
        <w:bidi w:val="0"/>
        <w:spacing w:line="600" w:lineRule="exact"/>
        <w:ind w:left="0" w:leftChars="0"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rPr>
        <w:t xml:space="preserve"> </w:t>
      </w:r>
      <w:r>
        <w:rPr>
          <w:rFonts w:hint="eastAsia" w:ascii="仿宋_GB2312" w:hAnsi="仿宋_GB2312" w:eastAsia="仿宋_GB2312" w:cs="仿宋_GB2312"/>
          <w:b w:val="0"/>
          <w:bCs w:val="0"/>
          <w:color w:val="auto"/>
          <w:sz w:val="32"/>
          <w:szCs w:val="32"/>
          <w:u w:val="none"/>
          <w:lang w:val="en-US" w:eastAsia="zh-CN"/>
        </w:rPr>
        <w:t>现存外商投资企业（外方）每增资100万美元奖励10万元人民币，奖励资金最高不超过100万元人民币。</w:t>
      </w:r>
    </w:p>
    <w:p>
      <w:pPr>
        <w:keepNext w:val="0"/>
        <w:keepLines w:val="0"/>
        <w:pageBreakBefore w:val="0"/>
        <w:widowControl w:val="0"/>
        <w:numPr>
          <w:numId w:val="0"/>
        </w:numPr>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 xml:space="preserve">（参照《河南省商务厅 河南省财政厅关于进一步做好河南省招商引资和社会资本投资社会公益事业奖励资金申报工作的通知》，省级奖励资金是最高不超过1000万。） </w:t>
      </w:r>
    </w:p>
    <w:p>
      <w:pPr>
        <w:pStyle w:val="2"/>
        <w:keepNext w:val="0"/>
        <w:keepLines w:val="0"/>
        <w:pageBreakBefore w:val="0"/>
        <w:widowControl w:val="0"/>
        <w:numPr>
          <w:ilvl w:val="0"/>
          <w:numId w:val="3"/>
        </w:numPr>
        <w:kinsoku/>
        <w:wordWrap/>
        <w:overflowPunct/>
        <w:topLinePunct w:val="0"/>
        <w:bidi w:val="0"/>
        <w:adjustRightInd w:val="0"/>
        <w:snapToGrid w:val="0"/>
        <w:spacing w:before="0" w:after="0" w:line="600" w:lineRule="exact"/>
        <w:ind w:left="0" w:leftChars="0" w:firstLine="640" w:firstLineChars="200"/>
        <w:jc w:val="both"/>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 xml:space="preserve"> 对在境内主板、科创板、创业板上市的企业一次性奖励人民币</w:t>
      </w:r>
      <w:r>
        <w:rPr>
          <w:rFonts w:hint="eastAsia" w:ascii="仿宋_GB2312" w:hAnsi="仿宋_GB2312" w:eastAsia="仿宋_GB2312" w:cs="仿宋_GB2312"/>
          <w:b w:val="0"/>
          <w:bCs w:val="0"/>
          <w:color w:val="auto"/>
          <w:sz w:val="32"/>
          <w:szCs w:val="32"/>
          <w:u w:val="none"/>
          <w:lang w:val="en-US" w:eastAsia="zh-CN"/>
        </w:rPr>
        <w:t>1</w:t>
      </w:r>
      <w:r>
        <w:rPr>
          <w:rFonts w:hint="eastAsia" w:ascii="仿宋_GB2312" w:hAnsi="仿宋_GB2312" w:eastAsia="仿宋_GB2312" w:cs="仿宋_GB2312"/>
          <w:b w:val="0"/>
          <w:bCs w:val="0"/>
          <w:color w:val="auto"/>
          <w:sz w:val="32"/>
          <w:szCs w:val="32"/>
          <w:u w:val="none"/>
        </w:rPr>
        <w:t>00万元。企业在“新三板”挂牌成功后，红旗区政府对成功在全国股转系统挂牌的企业，除市级支持外，每家再奖励50万元。</w:t>
      </w:r>
    </w:p>
    <w:p>
      <w:pPr>
        <w:pStyle w:val="2"/>
        <w:keepNext w:val="0"/>
        <w:keepLines w:val="0"/>
        <w:pageBreakBefore w:val="0"/>
        <w:widowControl w:val="0"/>
        <w:numPr>
          <w:numId w:val="0"/>
        </w:numPr>
        <w:kinsoku/>
        <w:wordWrap/>
        <w:overflowPunct/>
        <w:topLinePunct w:val="0"/>
        <w:bidi w:val="0"/>
        <w:adjustRightInd w:val="0"/>
        <w:snapToGrid w:val="0"/>
        <w:spacing w:before="0" w:after="0" w:line="600" w:lineRule="exact"/>
        <w:ind w:firstLine="640" w:firstLineChars="200"/>
        <w:jc w:val="both"/>
        <w:textAlignment w:val="auto"/>
        <w:rPr>
          <w:rFonts w:hint="eastAsia" w:ascii="仿宋_GB2312" w:hAnsi="仿宋" w:eastAsia="仿宋_GB2312" w:cs="仿宋"/>
          <w:b w:val="0"/>
          <w:bCs w:val="0"/>
          <w:color w:val="auto"/>
          <w:sz w:val="32"/>
          <w:szCs w:val="32"/>
          <w:u w:val="none"/>
          <w:lang w:eastAsia="zh-CN"/>
        </w:rPr>
      </w:pPr>
      <w:r>
        <w:rPr>
          <w:rFonts w:hint="eastAsia" w:ascii="仿宋_GB2312" w:hAnsi="仿宋" w:eastAsia="仿宋_GB2312" w:cs="仿宋"/>
          <w:b w:val="0"/>
          <w:bCs w:val="0"/>
          <w:color w:val="auto"/>
          <w:sz w:val="32"/>
          <w:szCs w:val="32"/>
          <w:u w:val="none"/>
          <w:lang w:eastAsia="zh-CN"/>
        </w:rPr>
        <w:t>（来源</w:t>
      </w:r>
      <w:r>
        <w:rPr>
          <w:rFonts w:hint="eastAsia" w:ascii="仿宋_GB2312" w:hAnsi="仿宋_GB2312" w:eastAsia="仿宋_GB2312" w:cs="仿宋_GB2312"/>
          <w:b w:val="0"/>
          <w:bCs w:val="0"/>
          <w:color w:val="auto"/>
          <w:kern w:val="0"/>
          <w:sz w:val="32"/>
          <w:szCs w:val="32"/>
          <w:u w:val="none"/>
          <w:lang w:val="en-US" w:eastAsia="zh-CN"/>
        </w:rPr>
        <w:t>《红旗区鼓励企业上市和“新三板”挂牌奖励办法》</w:t>
      </w:r>
      <w:r>
        <w:rPr>
          <w:rFonts w:hint="eastAsia" w:ascii="仿宋_GB2312" w:hAnsi="仿宋" w:eastAsia="仿宋_GB2312" w:cs="仿宋"/>
          <w:b w:val="0"/>
          <w:bCs w:val="0"/>
          <w:color w:val="auto"/>
          <w:sz w:val="32"/>
          <w:szCs w:val="32"/>
          <w:u w:val="none"/>
          <w:lang w:eastAsia="zh-CN"/>
        </w:rPr>
        <w:t>）</w:t>
      </w:r>
    </w:p>
    <w:p>
      <w:pPr>
        <w:pStyle w:val="2"/>
        <w:keepNext w:val="0"/>
        <w:keepLines w:val="0"/>
        <w:pageBreakBefore w:val="0"/>
        <w:widowControl w:val="0"/>
        <w:numPr>
          <w:ilvl w:val="0"/>
          <w:numId w:val="3"/>
        </w:numPr>
        <w:kinsoku/>
        <w:wordWrap/>
        <w:overflowPunct/>
        <w:topLinePunct w:val="0"/>
        <w:bidi w:val="0"/>
        <w:adjustRightInd w:val="0"/>
        <w:snapToGrid w:val="0"/>
        <w:spacing w:after="0" w:line="600" w:lineRule="exact"/>
        <w:ind w:left="0" w:leftChars="0" w:firstLine="640" w:firstLineChars="200"/>
        <w:jc w:val="both"/>
        <w:textAlignment w:val="auto"/>
        <w:rPr>
          <w:rFonts w:hint="default" w:ascii="仿宋_GB2312" w:hAnsi="仿宋_GB2312" w:eastAsia="仿宋_GB2312" w:cs="仿宋_GB2312"/>
          <w:b w:val="0"/>
          <w:bCs w:val="0"/>
          <w:color w:val="auto"/>
          <w:spacing w:val="-6"/>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 xml:space="preserve"> </w:t>
      </w:r>
      <w:r>
        <w:rPr>
          <w:rFonts w:hint="eastAsia" w:ascii="仿宋_GB2312" w:hAnsi="仿宋_GB2312" w:eastAsia="仿宋_GB2312" w:cs="仿宋_GB2312"/>
          <w:b w:val="0"/>
          <w:bCs w:val="0"/>
          <w:color w:val="auto"/>
          <w:sz w:val="32"/>
          <w:szCs w:val="32"/>
          <w:u w:val="none"/>
        </w:rPr>
        <w:t>新设立或迁入的</w:t>
      </w:r>
      <w:r>
        <w:rPr>
          <w:rFonts w:hint="default" w:ascii="仿宋_GB2312" w:hAnsi="仿宋_GB2312" w:eastAsia="仿宋_GB2312" w:cs="仿宋_GB2312"/>
          <w:b w:val="0"/>
          <w:bCs w:val="0"/>
          <w:color w:val="auto"/>
          <w:sz w:val="32"/>
          <w:szCs w:val="32"/>
          <w:u w:val="none"/>
          <w:lang w:val="en-US" w:eastAsia="zh-CN"/>
        </w:rPr>
        <w:t>建筑、</w:t>
      </w:r>
      <w:r>
        <w:rPr>
          <w:rFonts w:hint="eastAsia" w:ascii="仿宋_GB2312" w:hAnsi="仿宋_GB2312" w:eastAsia="仿宋_GB2312" w:cs="仿宋_GB2312"/>
          <w:b w:val="0"/>
          <w:bCs w:val="0"/>
          <w:color w:val="auto"/>
          <w:sz w:val="32"/>
          <w:szCs w:val="32"/>
          <w:u w:val="none"/>
          <w:lang w:val="en-US" w:eastAsia="zh-CN"/>
        </w:rPr>
        <w:t>金融、</w:t>
      </w:r>
      <w:r>
        <w:rPr>
          <w:rFonts w:hint="default" w:ascii="仿宋_GB2312" w:hAnsi="仿宋_GB2312" w:eastAsia="仿宋_GB2312" w:cs="仿宋_GB2312"/>
          <w:b w:val="0"/>
          <w:bCs w:val="0"/>
          <w:color w:val="auto"/>
          <w:sz w:val="32"/>
          <w:szCs w:val="32"/>
          <w:u w:val="none"/>
          <w:lang w:val="en-US" w:eastAsia="zh-CN"/>
        </w:rPr>
        <w:t>保险业等分公司、分支机构</w:t>
      </w:r>
      <w:r>
        <w:rPr>
          <w:rFonts w:hint="eastAsia" w:ascii="仿宋_GB2312" w:hAnsi="仿宋_GB2312" w:eastAsia="仿宋_GB2312" w:cs="仿宋_GB2312"/>
          <w:b w:val="0"/>
          <w:bCs w:val="0"/>
          <w:color w:val="auto"/>
          <w:sz w:val="32"/>
          <w:szCs w:val="32"/>
          <w:u w:val="none"/>
        </w:rPr>
        <w:t>，自企业注册运营起，</w:t>
      </w:r>
      <w:r>
        <w:rPr>
          <w:rFonts w:hint="default" w:ascii="仿宋_GB2312" w:hAnsi="仿宋_GB2312" w:eastAsia="仿宋_GB2312" w:cs="仿宋_GB2312"/>
          <w:b w:val="0"/>
          <w:bCs w:val="0"/>
          <w:color w:val="auto"/>
          <w:sz w:val="32"/>
          <w:szCs w:val="32"/>
          <w:u w:val="none"/>
          <w:lang w:val="en-US" w:eastAsia="zh-CN"/>
        </w:rPr>
        <w:t>本辖区纳税增幅达到当年所在辖区地方级收税收入增速的，公司确定1位突出贡献者奖励名额，增幅每超2个百分比，增加一个名额，增加名额上限为5个。奖励</w:t>
      </w:r>
      <w:r>
        <w:rPr>
          <w:rFonts w:hint="default" w:ascii="仿宋_GB2312" w:hAnsi="仿宋_GB2312" w:eastAsia="仿宋_GB2312" w:cs="仿宋_GB2312"/>
          <w:b w:val="0"/>
          <w:bCs w:val="0"/>
          <w:color w:val="auto"/>
          <w:spacing w:val="-6"/>
          <w:sz w:val="32"/>
          <w:szCs w:val="32"/>
          <w:u w:val="none"/>
          <w:lang w:val="en-US" w:eastAsia="zh-CN"/>
        </w:rPr>
        <w:t>额度为本人在红旗区实缴个人所得税的地方级实际留成部分确定。</w:t>
      </w:r>
    </w:p>
    <w:p>
      <w:pPr>
        <w:pStyle w:val="2"/>
        <w:keepNext w:val="0"/>
        <w:keepLines w:val="0"/>
        <w:pageBreakBefore w:val="0"/>
        <w:widowControl w:val="0"/>
        <w:numPr>
          <w:numId w:val="0"/>
        </w:numPr>
        <w:kinsoku/>
        <w:wordWrap/>
        <w:overflowPunct/>
        <w:topLinePunct w:val="0"/>
        <w:bidi w:val="0"/>
        <w:adjustRightInd w:val="0"/>
        <w:snapToGrid w:val="0"/>
        <w:spacing w:after="0" w:line="600" w:lineRule="exact"/>
        <w:ind w:firstLine="640" w:firstLineChars="200"/>
        <w:jc w:val="both"/>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w:t>
      </w:r>
      <w:r>
        <w:rPr>
          <w:rFonts w:hint="eastAsia" w:ascii="仿宋_GB2312" w:hAnsi="仿宋_GB2312" w:eastAsia="仿宋_GB2312" w:cs="仿宋_GB2312"/>
          <w:b w:val="0"/>
          <w:bCs w:val="0"/>
          <w:color w:val="auto"/>
          <w:sz w:val="32"/>
          <w:szCs w:val="32"/>
          <w:u w:val="none"/>
          <w:lang w:eastAsia="zh-CN"/>
        </w:rPr>
        <w:t>参照《</w:t>
      </w:r>
      <w:r>
        <w:rPr>
          <w:rFonts w:hint="eastAsia" w:ascii="仿宋_GB2312" w:hAnsi="仿宋_GB2312" w:eastAsia="仿宋_GB2312" w:cs="仿宋_GB2312"/>
          <w:b w:val="0"/>
          <w:bCs w:val="0"/>
          <w:color w:val="auto"/>
          <w:sz w:val="32"/>
          <w:szCs w:val="32"/>
          <w:u w:val="none"/>
        </w:rPr>
        <w:t>红旗区鼓励金融及楼宇经济发展专项扶持办法</w:t>
      </w:r>
      <w:r>
        <w:rPr>
          <w:rFonts w:hint="eastAsia" w:ascii="仿宋_GB2312" w:hAnsi="仿宋_GB2312" w:eastAsia="仿宋_GB2312" w:cs="仿宋_GB2312"/>
          <w:b w:val="0"/>
          <w:bCs w:val="0"/>
          <w:color w:val="auto"/>
          <w:sz w:val="32"/>
          <w:szCs w:val="32"/>
          <w:u w:val="none"/>
        </w:rPr>
        <w:t>（试行）</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第</w:t>
      </w:r>
      <w:r>
        <w:rPr>
          <w:rFonts w:hint="eastAsia" w:ascii="仿宋_GB2312" w:hAnsi="仿宋_GB2312" w:eastAsia="仿宋_GB2312" w:cs="仿宋_GB2312"/>
          <w:b w:val="0"/>
          <w:bCs w:val="0"/>
          <w:color w:val="auto"/>
          <w:sz w:val="32"/>
          <w:szCs w:val="32"/>
          <w:u w:val="none"/>
          <w:lang w:eastAsia="zh-CN"/>
        </w:rPr>
        <w:t>十</w:t>
      </w:r>
      <w:r>
        <w:rPr>
          <w:rFonts w:hint="eastAsia" w:ascii="仿宋_GB2312" w:hAnsi="仿宋_GB2312" w:eastAsia="仿宋_GB2312" w:cs="仿宋_GB2312"/>
          <w:b w:val="0"/>
          <w:bCs w:val="0"/>
          <w:color w:val="auto"/>
          <w:sz w:val="32"/>
          <w:szCs w:val="32"/>
          <w:u w:val="none"/>
        </w:rPr>
        <w:t xml:space="preserve">条 </w:t>
      </w:r>
      <w:r>
        <w:rPr>
          <w:rFonts w:hint="eastAsia" w:ascii="仿宋_GB2312" w:hAnsi="仿宋_GB2312" w:eastAsia="仿宋_GB2312" w:cs="仿宋_GB2312"/>
          <w:b w:val="0"/>
          <w:bCs w:val="0"/>
          <w:color w:val="auto"/>
          <w:sz w:val="32"/>
          <w:szCs w:val="32"/>
          <w:u w:val="none"/>
          <w:lang w:val="en-US" w:eastAsia="zh-CN"/>
        </w:rPr>
        <w:t xml:space="preserve"> </w:t>
      </w:r>
      <w:r>
        <w:rPr>
          <w:rFonts w:hint="eastAsia" w:ascii="仿宋_GB2312" w:hAnsi="仿宋_GB2312" w:eastAsia="仿宋_GB2312" w:cs="仿宋_GB2312"/>
          <w:b w:val="0"/>
          <w:bCs w:val="0"/>
          <w:color w:val="auto"/>
          <w:sz w:val="32"/>
          <w:szCs w:val="32"/>
          <w:u w:val="none"/>
        </w:rPr>
        <w:t>对新入驻商务楼宇且符合楼宇主导产业的区外企业，在红旗区注册运营满一年，且区级贡献</w:t>
      </w:r>
      <w:r>
        <w:rPr>
          <w:rFonts w:hint="eastAsia" w:ascii="仿宋_GB2312" w:hAnsi="仿宋_GB2312" w:eastAsia="仿宋_GB2312" w:cs="仿宋_GB2312"/>
          <w:b w:val="0"/>
          <w:bCs w:val="0"/>
          <w:color w:val="auto"/>
          <w:sz w:val="32"/>
          <w:szCs w:val="32"/>
          <w:u w:val="none"/>
          <w:lang w:eastAsia="zh-CN"/>
        </w:rPr>
        <w:t>首次</w:t>
      </w:r>
      <w:r>
        <w:rPr>
          <w:rFonts w:hint="eastAsia" w:ascii="仿宋_GB2312" w:hAnsi="仿宋_GB2312" w:eastAsia="仿宋_GB2312" w:cs="仿宋_GB2312"/>
          <w:b w:val="0"/>
          <w:bCs w:val="0"/>
          <w:color w:val="auto"/>
          <w:sz w:val="32"/>
          <w:szCs w:val="32"/>
          <w:u w:val="none"/>
        </w:rPr>
        <w:t>达到10万元及以上的，按其当年区级贡献额度的</w:t>
      </w:r>
      <w:r>
        <w:rPr>
          <w:rFonts w:hint="eastAsia" w:ascii="仿宋_GB2312" w:hAnsi="仿宋_GB2312" w:eastAsia="仿宋_GB2312" w:cs="仿宋_GB2312"/>
          <w:b w:val="0"/>
          <w:bCs w:val="0"/>
          <w:color w:val="auto"/>
          <w:sz w:val="32"/>
          <w:szCs w:val="32"/>
          <w:u w:val="none"/>
          <w:lang w:val="en-US" w:eastAsia="zh-CN"/>
        </w:rPr>
        <w:t>20</w:t>
      </w:r>
      <w:r>
        <w:rPr>
          <w:rFonts w:hint="eastAsia" w:ascii="仿宋_GB2312" w:hAnsi="仿宋_GB2312" w:eastAsia="仿宋_GB2312" w:cs="仿宋_GB2312"/>
          <w:b w:val="0"/>
          <w:bCs w:val="0"/>
          <w:color w:val="auto"/>
          <w:sz w:val="32"/>
          <w:szCs w:val="32"/>
          <w:u w:val="none"/>
        </w:rPr>
        <w:t>％予以奖励，最高不超过30万元。从第二年起，每年按其当年区级贡献额度比往年最高额度增量部分的20%予以奖励，最高不超过50万元。</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u w:val="none"/>
          <w:lang w:eastAsia="zh-CN"/>
        </w:rPr>
        <w:t>对新引进的总部企业（不包括房地产企业），自注册之日起连续三年分别按照其当年度区级贡献50%、30%、20%的比例每年一次性给予企业扶持，每年最高不超过500万元。对负责新引进总部企业（不包括房地产企业）的招商主体一次性给予10万元的扶持。对总部企业在辖区内举办全国规模以上会议、会展的，根据会议和会展规模，采取“一事一议”的方式给予一定补助。（红旗区总部企业认定标准是指满足以下所有条件的企业：符合红旗区产业发展方向，注册资金或净资产不低于4000万元，年度区级贡献不低于200万元，有3个以上分支机构。）</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u w:val="none"/>
          <w:lang w:eastAsia="zh-CN"/>
        </w:rPr>
        <w:t>（参照</w:t>
      </w:r>
      <w:r>
        <w:rPr>
          <w:rFonts w:hint="eastAsia" w:ascii="仿宋_GB2312" w:eastAsia="仿宋_GB2312"/>
          <w:b w:val="0"/>
          <w:bCs w:val="0"/>
          <w:color w:val="auto"/>
          <w:sz w:val="32"/>
          <w:szCs w:val="32"/>
          <w:u w:val="none"/>
        </w:rPr>
        <w:t>红旗区鼓励金融及楼宇经济发展专项扶持办法</w:t>
      </w:r>
      <w:r>
        <w:rPr>
          <w:rFonts w:hint="eastAsia" w:ascii="仿宋_GB2312" w:hAnsi="仿宋_GB2312" w:eastAsia="仿宋_GB2312" w:cs="仿宋_GB2312"/>
          <w:b w:val="0"/>
          <w:bCs w:val="0"/>
          <w:color w:val="auto"/>
          <w:sz w:val="32"/>
          <w:szCs w:val="32"/>
          <w:u w:val="none"/>
          <w:lang w:eastAsia="zh-CN"/>
        </w:rPr>
        <w:t>）（本条不与第三条重复享受）</w:t>
      </w:r>
    </w:p>
    <w:p>
      <w:pPr>
        <w:pStyle w:val="2"/>
        <w:keepNext w:val="0"/>
        <w:keepLines w:val="0"/>
        <w:pageBreakBefore w:val="0"/>
        <w:widowControl w:val="0"/>
        <w:kinsoku/>
        <w:wordWrap/>
        <w:overflowPunct/>
        <w:topLinePunct w:val="0"/>
        <w:bidi w:val="0"/>
        <w:adjustRightInd w:val="0"/>
        <w:snapToGrid w:val="0"/>
        <w:spacing w:before="0" w:after="0" w:line="600" w:lineRule="exact"/>
        <w:ind w:left="0" w:firstLine="640" w:firstLineChars="200"/>
        <w:jc w:val="both"/>
        <w:textAlignment w:val="auto"/>
        <w:rPr>
          <w:rFonts w:ascii="仿宋_GB2312" w:hAnsi="仿宋_GB2312" w:eastAsia="仿宋_GB2312" w:cs="仿宋_GB2312"/>
          <w:b w:val="0"/>
          <w:bCs w:val="0"/>
          <w:color w:val="auto"/>
          <w:kern w:val="2"/>
          <w:sz w:val="32"/>
          <w:szCs w:val="32"/>
          <w:u w:val="none"/>
        </w:rPr>
      </w:pPr>
      <w:r>
        <w:rPr>
          <w:rFonts w:hint="eastAsia" w:ascii="仿宋_GB2312" w:hAnsi="仿宋_GB2312" w:eastAsia="仿宋_GB2312" w:cs="仿宋_GB2312"/>
          <w:b w:val="0"/>
          <w:bCs w:val="0"/>
          <w:color w:val="auto"/>
          <w:sz w:val="32"/>
          <w:szCs w:val="32"/>
          <w:u w:val="none"/>
        </w:rPr>
        <w:t>第</w:t>
      </w:r>
      <w:r>
        <w:rPr>
          <w:rFonts w:hint="eastAsia" w:ascii="仿宋_GB2312" w:hAnsi="仿宋_GB2312" w:eastAsia="仿宋_GB2312" w:cs="仿宋_GB2312"/>
          <w:b w:val="0"/>
          <w:bCs w:val="0"/>
          <w:color w:val="auto"/>
          <w:sz w:val="32"/>
          <w:szCs w:val="32"/>
          <w:u w:val="none"/>
          <w:lang w:eastAsia="zh-CN"/>
        </w:rPr>
        <w:t>十一</w:t>
      </w:r>
      <w:r>
        <w:rPr>
          <w:rFonts w:hint="eastAsia" w:ascii="仿宋_GB2312" w:hAnsi="仿宋_GB2312" w:eastAsia="仿宋_GB2312" w:cs="仿宋_GB2312"/>
          <w:b w:val="0"/>
          <w:bCs w:val="0"/>
          <w:color w:val="auto"/>
          <w:sz w:val="32"/>
          <w:szCs w:val="32"/>
          <w:u w:val="none"/>
        </w:rPr>
        <w:t>条</w:t>
      </w:r>
      <w:r>
        <w:rPr>
          <w:rFonts w:hint="eastAsia" w:ascii="仿宋_GB2312" w:hAnsi="仿宋_GB2312" w:eastAsia="仿宋_GB2312" w:cs="仿宋_GB2312"/>
          <w:b w:val="0"/>
          <w:bCs w:val="0"/>
          <w:color w:val="auto"/>
          <w:sz w:val="32"/>
          <w:szCs w:val="32"/>
          <w:u w:val="none"/>
          <w:lang w:val="en-US" w:eastAsia="zh-CN"/>
        </w:rPr>
        <w:t xml:space="preserve">  </w:t>
      </w:r>
      <w:r>
        <w:rPr>
          <w:rFonts w:hint="eastAsia" w:ascii="仿宋_GB2312" w:hAnsi="仿宋" w:eastAsia="仿宋_GB2312"/>
          <w:b w:val="0"/>
          <w:bCs w:val="0"/>
          <w:color w:val="auto"/>
          <w:sz w:val="32"/>
          <w:szCs w:val="32"/>
          <w:u w:val="none"/>
        </w:rPr>
        <w:t>对新认定的国家高新技术企业奖励</w:t>
      </w:r>
      <w:r>
        <w:rPr>
          <w:rFonts w:hint="eastAsia" w:ascii="仿宋_GB2312" w:hAnsi="仿宋" w:eastAsia="仿宋_GB2312"/>
          <w:b w:val="0"/>
          <w:bCs w:val="0"/>
          <w:color w:val="auto"/>
          <w:sz w:val="32"/>
          <w:szCs w:val="32"/>
          <w:u w:val="none"/>
          <w:lang w:val="en-US" w:eastAsia="zh-CN"/>
        </w:rPr>
        <w:t>30</w:t>
      </w:r>
      <w:r>
        <w:rPr>
          <w:rFonts w:hint="eastAsia" w:ascii="仿宋_GB2312" w:hAnsi="仿宋" w:eastAsia="仿宋_GB2312"/>
          <w:b w:val="0"/>
          <w:bCs w:val="0"/>
          <w:color w:val="auto"/>
          <w:sz w:val="32"/>
          <w:szCs w:val="32"/>
          <w:u w:val="none"/>
        </w:rPr>
        <w:t>万元；对新认定的省级瞪羚企业（</w:t>
      </w:r>
      <w:r>
        <w:rPr>
          <w:rFonts w:hint="eastAsia" w:ascii="仿宋_GB2312" w:hAnsi="仿宋_GB2312" w:eastAsia="仿宋_GB2312" w:cs="仿宋_GB2312"/>
          <w:b w:val="0"/>
          <w:bCs w:val="0"/>
          <w:color w:val="auto"/>
          <w:sz w:val="32"/>
          <w:szCs w:val="32"/>
          <w:u w:val="none"/>
        </w:rPr>
        <w:t>科技小巨人企业</w:t>
      </w:r>
      <w:r>
        <w:rPr>
          <w:rFonts w:hint="eastAsia" w:ascii="仿宋_GB2312" w:hAnsi="仿宋" w:eastAsia="仿宋_GB2312"/>
          <w:b w:val="0"/>
          <w:bCs w:val="0"/>
          <w:color w:val="auto"/>
          <w:sz w:val="32"/>
          <w:szCs w:val="32"/>
          <w:u w:val="none"/>
        </w:rPr>
        <w:t>）奖励20万元</w:t>
      </w:r>
      <w:r>
        <w:rPr>
          <w:rFonts w:hint="eastAsia" w:ascii="仿宋_GB2312" w:hAnsi="仿宋" w:eastAsia="仿宋_GB2312"/>
          <w:b w:val="0"/>
          <w:bCs w:val="0"/>
          <w:color w:val="auto"/>
          <w:sz w:val="32"/>
          <w:szCs w:val="32"/>
          <w:u w:val="none"/>
          <w:lang w:eastAsia="zh-CN"/>
        </w:rPr>
        <w:t>、</w:t>
      </w:r>
      <w:r>
        <w:rPr>
          <w:rFonts w:hint="eastAsia" w:ascii="仿宋_GB2312" w:hAnsi="仿宋" w:eastAsia="仿宋_GB2312"/>
          <w:b w:val="0"/>
          <w:bCs w:val="0"/>
          <w:color w:val="auto"/>
          <w:sz w:val="32"/>
          <w:szCs w:val="32"/>
          <w:u w:val="none"/>
        </w:rPr>
        <w:t>省级科技雏鹰企业（</w:t>
      </w:r>
      <w:r>
        <w:rPr>
          <w:rFonts w:hint="eastAsia" w:ascii="仿宋_GB2312" w:hAnsi="仿宋_GB2312" w:eastAsia="仿宋_GB2312" w:cs="仿宋_GB2312"/>
          <w:b w:val="0"/>
          <w:bCs w:val="0"/>
          <w:color w:val="auto"/>
          <w:sz w:val="32"/>
          <w:szCs w:val="32"/>
          <w:u w:val="none"/>
        </w:rPr>
        <w:t>科技小巨人培育企业</w:t>
      </w:r>
      <w:r>
        <w:rPr>
          <w:rFonts w:hint="eastAsia" w:ascii="仿宋_GB2312" w:hAnsi="仿宋" w:eastAsia="仿宋_GB2312"/>
          <w:b w:val="0"/>
          <w:bCs w:val="0"/>
          <w:color w:val="auto"/>
          <w:sz w:val="32"/>
          <w:szCs w:val="32"/>
          <w:u w:val="none"/>
        </w:rPr>
        <w:t>）奖励10万元；对首次通过评价的国家科技型中小企业奖励2万元；对连续三年通过复核评价的国家科技型中小企业奖励3万元。</w:t>
      </w:r>
    </w:p>
    <w:p>
      <w:pPr>
        <w:pStyle w:val="2"/>
        <w:keepNext w:val="0"/>
        <w:keepLines w:val="0"/>
        <w:pageBreakBefore w:val="0"/>
        <w:widowControl w:val="0"/>
        <w:kinsoku/>
        <w:wordWrap/>
        <w:overflowPunct/>
        <w:topLinePunct w:val="0"/>
        <w:bidi w:val="0"/>
        <w:adjustRightInd w:val="0"/>
        <w:snapToGrid w:val="0"/>
        <w:spacing w:before="0" w:after="0" w:line="600" w:lineRule="exact"/>
        <w:ind w:left="0" w:firstLine="640" w:firstLineChars="200"/>
        <w:jc w:val="both"/>
        <w:textAlignment w:val="auto"/>
        <w:rPr>
          <w:rFonts w:hint="eastAsia" w:ascii="仿宋_GB2312" w:hAnsi="仿宋_GB2312" w:eastAsia="仿宋_GB2312" w:cs="仿宋_GB2312"/>
          <w:b w:val="0"/>
          <w:bCs w:val="0"/>
          <w:color w:val="auto"/>
          <w:kern w:val="2"/>
          <w:sz w:val="32"/>
          <w:szCs w:val="32"/>
          <w:u w:val="none"/>
          <w:lang w:eastAsia="zh-CN"/>
        </w:rPr>
      </w:pPr>
      <w:r>
        <w:rPr>
          <w:rFonts w:hint="eastAsia" w:ascii="仿宋_GB2312" w:hAnsi="仿宋" w:eastAsia="仿宋_GB2312"/>
          <w:b w:val="0"/>
          <w:bCs w:val="0"/>
          <w:color w:val="auto"/>
          <w:sz w:val="32"/>
          <w:szCs w:val="32"/>
          <w:u w:val="none"/>
        </w:rPr>
        <w:t>对新认定的国家级工程技术研究中心、重点实验室、企业技术中心、工程研究中心、院士工作站、博士后工作站等创新平台奖励100万元；对新认定的省级工程技术研究中心、重点实验室、企业技术中心、工程研究中心（工程实验室）、院士工作站、中原学者工作站、博士后工作站、新型研发机构等创新平台奖励50万元；对新认定的市级工程技术研究中心、重点实验室奖励30万元</w:t>
      </w:r>
      <w:r>
        <w:rPr>
          <w:rFonts w:ascii="仿宋_GB2312" w:hAnsi="仿宋" w:eastAsia="仿宋_GB2312"/>
          <w:b w:val="0"/>
          <w:bCs w:val="0"/>
          <w:color w:val="auto"/>
          <w:sz w:val="32"/>
          <w:szCs w:val="32"/>
          <w:u w:val="none"/>
        </w:rPr>
        <w:t>;</w:t>
      </w:r>
      <w:r>
        <w:rPr>
          <w:rFonts w:hint="eastAsia" w:ascii="仿宋_GB2312" w:hAnsi="仿宋" w:eastAsia="仿宋_GB2312"/>
          <w:b w:val="0"/>
          <w:bCs w:val="0"/>
          <w:color w:val="auto"/>
          <w:sz w:val="32"/>
          <w:szCs w:val="32"/>
          <w:u w:val="none"/>
        </w:rPr>
        <w:t>对新认定的市级新型研发机构奖励</w:t>
      </w:r>
      <w:r>
        <w:rPr>
          <w:rFonts w:hint="eastAsia" w:ascii="仿宋_GB2312" w:hAnsi="仿宋" w:eastAsia="仿宋_GB2312"/>
          <w:b w:val="0"/>
          <w:bCs w:val="0"/>
          <w:color w:val="auto"/>
          <w:sz w:val="32"/>
          <w:szCs w:val="32"/>
          <w:u w:val="none"/>
          <w:lang w:val="en-US" w:eastAsia="zh-CN"/>
        </w:rPr>
        <w:t>20</w:t>
      </w:r>
      <w:r>
        <w:rPr>
          <w:rFonts w:hint="eastAsia" w:ascii="仿宋_GB2312" w:hAnsi="仿宋" w:eastAsia="仿宋_GB2312"/>
          <w:b w:val="0"/>
          <w:bCs w:val="0"/>
          <w:color w:val="auto"/>
          <w:sz w:val="32"/>
          <w:szCs w:val="32"/>
          <w:u w:val="none"/>
        </w:rPr>
        <w:t>万元。</w:t>
      </w:r>
      <w:r>
        <w:rPr>
          <w:rFonts w:hint="eastAsia" w:ascii="仿宋_GB2312" w:hAnsi="仿宋_GB2312" w:eastAsia="仿宋_GB2312" w:cs="仿宋_GB2312"/>
          <w:b w:val="0"/>
          <w:bCs w:val="0"/>
          <w:color w:val="auto"/>
          <w:kern w:val="2"/>
          <w:sz w:val="32"/>
          <w:szCs w:val="32"/>
          <w:u w:val="none"/>
        </w:rPr>
        <w:t>（来源</w:t>
      </w:r>
      <w:r>
        <w:rPr>
          <w:rFonts w:hint="eastAsia" w:ascii="仿宋_GB2312" w:hAnsi="仿宋_GB2312" w:eastAsia="仿宋_GB2312" w:cs="仿宋_GB2312"/>
          <w:b w:val="0"/>
          <w:bCs w:val="0"/>
          <w:color w:val="auto"/>
          <w:kern w:val="2"/>
          <w:sz w:val="32"/>
          <w:szCs w:val="32"/>
          <w:u w:val="none"/>
          <w:lang w:eastAsia="zh-CN"/>
        </w:rPr>
        <w:t>红旗区科技创新奖励管理办法）</w:t>
      </w:r>
      <w:bookmarkStart w:id="0" w:name="_Hlk77615551"/>
    </w:p>
    <w:bookmarkEnd w:id="0"/>
    <w:p>
      <w:pPr>
        <w:keepNext w:val="0"/>
        <w:keepLines w:val="0"/>
        <w:pageBreakBefore w:val="0"/>
        <w:widowControl w:val="0"/>
        <w:kinsoku/>
        <w:wordWrap/>
        <w:overflowPunct/>
        <w:topLinePunct w:val="0"/>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u w:val="none"/>
        </w:rPr>
        <w:t>第</w:t>
      </w:r>
      <w:r>
        <w:rPr>
          <w:rFonts w:hint="eastAsia" w:ascii="仿宋_GB2312" w:hAnsi="仿宋_GB2312" w:eastAsia="仿宋_GB2312" w:cs="仿宋_GB2312"/>
          <w:b w:val="0"/>
          <w:bCs w:val="0"/>
          <w:color w:val="auto"/>
          <w:sz w:val="32"/>
          <w:szCs w:val="32"/>
          <w:u w:val="none"/>
          <w:lang w:eastAsia="zh-CN"/>
        </w:rPr>
        <w:t>十</w:t>
      </w:r>
      <w:r>
        <w:rPr>
          <w:rFonts w:hint="eastAsia" w:ascii="仿宋_GB2312" w:hAnsi="仿宋_GB2312" w:eastAsia="仿宋_GB2312" w:cs="仿宋_GB2312"/>
          <w:b w:val="0"/>
          <w:bCs w:val="0"/>
          <w:color w:val="auto"/>
          <w:sz w:val="32"/>
          <w:szCs w:val="32"/>
          <w:u w:val="none"/>
          <w:lang w:val="en-US" w:eastAsia="zh-CN"/>
        </w:rPr>
        <w:t>二</w:t>
      </w:r>
      <w:r>
        <w:rPr>
          <w:rFonts w:hint="eastAsia" w:ascii="仿宋_GB2312" w:hAnsi="仿宋_GB2312" w:eastAsia="仿宋_GB2312" w:cs="仿宋_GB2312"/>
          <w:b w:val="0"/>
          <w:bCs w:val="0"/>
          <w:color w:val="auto"/>
          <w:sz w:val="32"/>
          <w:szCs w:val="32"/>
          <w:u w:val="none"/>
        </w:rPr>
        <w:t>条</w:t>
      </w:r>
      <w:r>
        <w:rPr>
          <w:rFonts w:hint="eastAsia" w:ascii="仿宋_GB2312" w:hAnsi="仿宋_GB2312" w:eastAsia="仿宋_GB2312" w:cs="仿宋_GB2312"/>
          <w:b w:val="0"/>
          <w:bCs w:val="0"/>
          <w:color w:val="auto"/>
          <w:sz w:val="32"/>
          <w:szCs w:val="32"/>
          <w:u w:val="none"/>
          <w:lang w:val="en-US" w:eastAsia="zh-CN"/>
        </w:rPr>
        <w:t xml:space="preserve">  </w:t>
      </w:r>
      <w:r>
        <w:rPr>
          <w:rFonts w:hint="eastAsia" w:ascii="仿宋_GB2312" w:hAnsi="仿宋_GB2312" w:eastAsia="仿宋_GB2312" w:cs="仿宋_GB2312"/>
          <w:b w:val="0"/>
          <w:bCs w:val="0"/>
          <w:color w:val="auto"/>
          <w:sz w:val="32"/>
          <w:szCs w:val="32"/>
          <w:u w:val="none"/>
        </w:rPr>
        <w:t>对我区新注册的建筑业企业，自企业注册运营起一年内，区级年度</w:t>
      </w:r>
      <w:r>
        <w:rPr>
          <w:rFonts w:hint="eastAsia" w:ascii="仿宋_GB2312" w:hAnsi="仿宋_GB2312" w:eastAsia="仿宋_GB2312" w:cs="仿宋_GB2312"/>
          <w:b w:val="0"/>
          <w:bCs w:val="0"/>
          <w:color w:val="auto"/>
          <w:sz w:val="32"/>
          <w:szCs w:val="32"/>
          <w:u w:val="none"/>
          <w:lang w:eastAsia="zh-CN"/>
        </w:rPr>
        <w:t>税收</w:t>
      </w:r>
      <w:r>
        <w:rPr>
          <w:rFonts w:hint="eastAsia" w:ascii="仿宋_GB2312" w:hAnsi="仿宋_GB2312" w:eastAsia="仿宋_GB2312" w:cs="仿宋_GB2312"/>
          <w:b w:val="0"/>
          <w:bCs w:val="0"/>
          <w:color w:val="auto"/>
          <w:sz w:val="32"/>
          <w:szCs w:val="32"/>
          <w:u w:val="none"/>
        </w:rPr>
        <w:t>贡献达到100万元及以上的可享受一次性资金奖励政策。区级年度</w:t>
      </w:r>
      <w:r>
        <w:rPr>
          <w:rFonts w:hint="eastAsia" w:ascii="仿宋_GB2312" w:hAnsi="仿宋_GB2312" w:eastAsia="仿宋_GB2312" w:cs="仿宋_GB2312"/>
          <w:b w:val="0"/>
          <w:bCs w:val="0"/>
          <w:color w:val="auto"/>
          <w:sz w:val="32"/>
          <w:szCs w:val="32"/>
          <w:u w:val="none"/>
          <w:lang w:eastAsia="zh-CN"/>
        </w:rPr>
        <w:t>税收</w:t>
      </w:r>
      <w:r>
        <w:rPr>
          <w:rFonts w:hint="eastAsia" w:ascii="仿宋_GB2312" w:hAnsi="仿宋_GB2312" w:eastAsia="仿宋_GB2312" w:cs="仿宋_GB2312"/>
          <w:b w:val="0"/>
          <w:bCs w:val="0"/>
          <w:color w:val="auto"/>
          <w:sz w:val="32"/>
          <w:szCs w:val="32"/>
          <w:u w:val="none"/>
        </w:rPr>
        <w:t>贡献达到100万元的，按照区级年度贡献的10%给予奖励，区级年度</w:t>
      </w:r>
      <w:r>
        <w:rPr>
          <w:rFonts w:hint="eastAsia" w:ascii="仿宋_GB2312" w:hAnsi="仿宋_GB2312" w:eastAsia="仿宋_GB2312" w:cs="仿宋_GB2312"/>
          <w:b w:val="0"/>
          <w:bCs w:val="0"/>
          <w:color w:val="auto"/>
          <w:sz w:val="32"/>
          <w:szCs w:val="32"/>
          <w:u w:val="none"/>
          <w:lang w:eastAsia="zh-CN"/>
        </w:rPr>
        <w:t>税收</w:t>
      </w:r>
      <w:r>
        <w:rPr>
          <w:rFonts w:hint="eastAsia" w:ascii="仿宋_GB2312" w:hAnsi="仿宋_GB2312" w:eastAsia="仿宋_GB2312" w:cs="仿宋_GB2312"/>
          <w:b w:val="0"/>
          <w:bCs w:val="0"/>
          <w:color w:val="auto"/>
          <w:sz w:val="32"/>
          <w:szCs w:val="32"/>
          <w:u w:val="none"/>
        </w:rPr>
        <w:t>贡献达到200万元的，按照区级年度</w:t>
      </w:r>
      <w:r>
        <w:rPr>
          <w:rFonts w:hint="eastAsia" w:ascii="仿宋_GB2312" w:hAnsi="仿宋_GB2312" w:eastAsia="仿宋_GB2312" w:cs="仿宋_GB2312"/>
          <w:b w:val="0"/>
          <w:bCs w:val="0"/>
          <w:color w:val="auto"/>
          <w:sz w:val="32"/>
          <w:szCs w:val="32"/>
          <w:u w:val="none"/>
          <w:lang w:eastAsia="zh-CN"/>
        </w:rPr>
        <w:t>税收</w:t>
      </w:r>
      <w:r>
        <w:rPr>
          <w:rFonts w:hint="eastAsia" w:ascii="仿宋_GB2312" w:hAnsi="仿宋_GB2312" w:eastAsia="仿宋_GB2312" w:cs="仿宋_GB2312"/>
          <w:b w:val="0"/>
          <w:bCs w:val="0"/>
          <w:color w:val="auto"/>
          <w:sz w:val="32"/>
          <w:szCs w:val="32"/>
          <w:u w:val="none"/>
        </w:rPr>
        <w:t>贡献的12%给予奖励，以此类推，区级年度</w:t>
      </w:r>
      <w:r>
        <w:rPr>
          <w:rFonts w:hint="eastAsia" w:ascii="仿宋_GB2312" w:hAnsi="仿宋_GB2312" w:eastAsia="仿宋_GB2312" w:cs="仿宋_GB2312"/>
          <w:b w:val="0"/>
          <w:bCs w:val="0"/>
          <w:color w:val="auto"/>
          <w:sz w:val="32"/>
          <w:szCs w:val="32"/>
          <w:u w:val="none"/>
          <w:lang w:eastAsia="zh-CN"/>
        </w:rPr>
        <w:t>税收</w:t>
      </w:r>
      <w:r>
        <w:rPr>
          <w:rFonts w:hint="eastAsia" w:ascii="仿宋_GB2312" w:hAnsi="仿宋_GB2312" w:eastAsia="仿宋_GB2312" w:cs="仿宋_GB2312"/>
          <w:b w:val="0"/>
          <w:bCs w:val="0"/>
          <w:color w:val="auto"/>
          <w:sz w:val="32"/>
          <w:szCs w:val="32"/>
          <w:u w:val="none"/>
        </w:rPr>
        <w:t>贡献每增加100万元，奖励金额比例也相应增加2个百分点，</w:t>
      </w:r>
      <w:r>
        <w:rPr>
          <w:rFonts w:hint="eastAsia" w:ascii="仿宋_GB2312" w:hAnsi="仿宋_GB2312" w:eastAsia="仿宋_GB2312" w:cs="仿宋_GB2312"/>
          <w:b w:val="0"/>
          <w:bCs w:val="0"/>
          <w:color w:val="auto"/>
          <w:sz w:val="32"/>
          <w:szCs w:val="32"/>
          <w:u w:val="none"/>
          <w:lang w:eastAsia="zh-CN"/>
        </w:rPr>
        <w:t>但</w:t>
      </w:r>
      <w:r>
        <w:rPr>
          <w:rFonts w:hint="eastAsia" w:ascii="仿宋_GB2312" w:hAnsi="仿宋_GB2312" w:eastAsia="仿宋_GB2312" w:cs="仿宋_GB2312"/>
          <w:b w:val="0"/>
          <w:bCs w:val="0"/>
          <w:color w:val="auto"/>
          <w:sz w:val="32"/>
          <w:szCs w:val="32"/>
          <w:u w:val="none"/>
        </w:rPr>
        <w:t>最高一次性奖励</w:t>
      </w:r>
      <w:r>
        <w:rPr>
          <w:rFonts w:hint="eastAsia" w:ascii="仿宋_GB2312" w:hAnsi="仿宋_GB2312" w:eastAsia="仿宋_GB2312" w:cs="仿宋_GB2312"/>
          <w:b w:val="0"/>
          <w:bCs w:val="0"/>
          <w:color w:val="auto"/>
          <w:sz w:val="32"/>
          <w:szCs w:val="32"/>
          <w:u w:val="none"/>
          <w:lang w:eastAsia="zh-CN"/>
        </w:rPr>
        <w:t>金额</w:t>
      </w:r>
      <w:r>
        <w:rPr>
          <w:rFonts w:hint="eastAsia" w:ascii="仿宋_GB2312" w:hAnsi="仿宋_GB2312" w:eastAsia="仿宋_GB2312" w:cs="仿宋_GB2312"/>
          <w:b w:val="0"/>
          <w:bCs w:val="0"/>
          <w:color w:val="auto"/>
          <w:sz w:val="32"/>
          <w:szCs w:val="32"/>
          <w:u w:val="none"/>
        </w:rPr>
        <w:t>不超过</w:t>
      </w:r>
      <w:r>
        <w:rPr>
          <w:rFonts w:hint="eastAsia" w:ascii="仿宋_GB2312" w:hAnsi="仿宋_GB2312" w:eastAsia="仿宋_GB2312" w:cs="仿宋_GB2312"/>
          <w:b w:val="0"/>
          <w:bCs w:val="0"/>
          <w:color w:val="auto"/>
          <w:sz w:val="32"/>
          <w:szCs w:val="32"/>
          <w:u w:val="none"/>
          <w:lang w:val="en-US" w:eastAsia="zh-CN"/>
        </w:rPr>
        <w:t>200万元。</w:t>
      </w:r>
      <w:r>
        <w:rPr>
          <w:rFonts w:hint="eastAsia" w:ascii="仿宋_GB2312" w:hAnsi="仿宋_GB2312" w:eastAsia="仿宋_GB2312" w:cs="仿宋_GB2312"/>
          <w:b w:val="0"/>
          <w:bCs w:val="0"/>
          <w:color w:val="auto"/>
          <w:sz w:val="32"/>
          <w:szCs w:val="32"/>
          <w:u w:val="none"/>
        </w:rPr>
        <w:t>区级年度</w:t>
      </w:r>
      <w:r>
        <w:rPr>
          <w:rFonts w:hint="eastAsia" w:ascii="仿宋_GB2312" w:hAnsi="仿宋_GB2312" w:eastAsia="仿宋_GB2312" w:cs="仿宋_GB2312"/>
          <w:b w:val="0"/>
          <w:bCs w:val="0"/>
          <w:color w:val="auto"/>
          <w:sz w:val="32"/>
          <w:szCs w:val="32"/>
          <w:u w:val="none"/>
          <w:lang w:eastAsia="zh-CN"/>
        </w:rPr>
        <w:t>税收</w:t>
      </w:r>
      <w:r>
        <w:rPr>
          <w:rFonts w:hint="eastAsia" w:ascii="仿宋_GB2312" w:hAnsi="仿宋_GB2312" w:eastAsia="仿宋_GB2312" w:cs="仿宋_GB2312"/>
          <w:b w:val="0"/>
          <w:bCs w:val="0"/>
          <w:color w:val="auto"/>
          <w:sz w:val="32"/>
          <w:szCs w:val="32"/>
          <w:u w:val="none"/>
        </w:rPr>
        <w:t>贡献超过1000万元的奖励内容</w:t>
      </w:r>
      <w:r>
        <w:rPr>
          <w:rFonts w:hint="eastAsia" w:ascii="仿宋_GB2312" w:hAnsi="仿宋_GB2312" w:eastAsia="仿宋_GB2312" w:cs="仿宋_GB2312"/>
          <w:b w:val="0"/>
          <w:bCs w:val="0"/>
          <w:color w:val="auto"/>
          <w:sz w:val="32"/>
          <w:szCs w:val="32"/>
          <w:u w:val="none"/>
          <w:lang w:eastAsia="zh-CN"/>
        </w:rPr>
        <w:t>，以资金和基础设施等形式予以嘉奖。</w:t>
      </w:r>
    </w:p>
    <w:p>
      <w:pPr>
        <w:pStyle w:val="2"/>
        <w:keepNext w:val="0"/>
        <w:keepLines w:val="0"/>
        <w:pageBreakBefore w:val="0"/>
        <w:widowControl w:val="0"/>
        <w:kinsoku/>
        <w:wordWrap/>
        <w:overflowPunct/>
        <w:topLinePunct w:val="0"/>
        <w:bidi w:val="0"/>
        <w:adjustRightInd w:val="0"/>
        <w:snapToGrid w:val="0"/>
        <w:spacing w:before="0" w:after="0" w:line="600" w:lineRule="exact"/>
        <w:ind w:left="0" w:firstLine="640" w:firstLineChars="200"/>
        <w:jc w:val="both"/>
        <w:textAlignment w:val="auto"/>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u w:val="none"/>
        </w:rPr>
        <w:t>重点</w:t>
      </w:r>
      <w:r>
        <w:rPr>
          <w:rFonts w:hint="eastAsia" w:ascii="仿宋_GB2312" w:hAnsi="仿宋_GB2312" w:eastAsia="仿宋_GB2312" w:cs="仿宋_GB2312"/>
          <w:b w:val="0"/>
          <w:bCs w:val="0"/>
          <w:color w:val="auto"/>
          <w:sz w:val="32"/>
          <w:szCs w:val="32"/>
          <w:u w:val="none"/>
          <w:lang w:eastAsia="zh-CN"/>
        </w:rPr>
        <w:t>鼓励</w:t>
      </w:r>
      <w:r>
        <w:rPr>
          <w:rFonts w:hint="eastAsia" w:ascii="仿宋_GB2312" w:hAnsi="仿宋_GB2312" w:eastAsia="仿宋_GB2312" w:cs="仿宋_GB2312"/>
          <w:b w:val="0"/>
          <w:bCs w:val="0"/>
          <w:color w:val="auto"/>
          <w:sz w:val="32"/>
          <w:szCs w:val="32"/>
          <w:u w:val="none"/>
        </w:rPr>
        <w:t>行业协会、商会及第三方平台等统一招商、统一运营。招商主体每引进一家新注册建筑业企业，连续三年按照企业</w:t>
      </w:r>
      <w:r>
        <w:rPr>
          <w:rFonts w:hint="eastAsia" w:ascii="仿宋_GB2312" w:hAnsi="仿宋_GB2312" w:eastAsia="仿宋_GB2312" w:cs="仿宋_GB2312"/>
          <w:b w:val="0"/>
          <w:bCs w:val="0"/>
          <w:color w:val="auto"/>
          <w:spacing w:val="-6"/>
          <w:sz w:val="32"/>
          <w:szCs w:val="32"/>
          <w:u w:val="none"/>
        </w:rPr>
        <w:t>区级年度贡献的10%奖励招商主体，当年最高奖励不超过100万元</w:t>
      </w:r>
      <w:r>
        <w:rPr>
          <w:rFonts w:hint="eastAsia" w:ascii="仿宋_GB2312" w:hAnsi="仿宋_GB2312" w:eastAsia="仿宋_GB2312" w:cs="仿宋_GB2312"/>
          <w:b w:val="0"/>
          <w:bCs w:val="0"/>
          <w:color w:val="auto"/>
          <w:spacing w:val="-6"/>
          <w:sz w:val="32"/>
          <w:szCs w:val="32"/>
          <w:u w:val="none"/>
          <w:lang w:eastAsia="zh-CN"/>
        </w:rPr>
        <w:t>。</w:t>
      </w:r>
    </w:p>
    <w:p>
      <w:pPr>
        <w:pStyle w:val="2"/>
        <w:keepNext w:val="0"/>
        <w:keepLines w:val="0"/>
        <w:pageBreakBefore w:val="0"/>
        <w:widowControl w:val="0"/>
        <w:kinsoku/>
        <w:wordWrap/>
        <w:overflowPunct/>
        <w:topLinePunct w:val="0"/>
        <w:bidi w:val="0"/>
        <w:adjustRightInd w:val="0"/>
        <w:snapToGrid w:val="0"/>
        <w:spacing w:before="0" w:after="0" w:line="600" w:lineRule="exact"/>
        <w:ind w:left="0" w:firstLine="640" w:firstLineChars="200"/>
        <w:jc w:val="both"/>
        <w:textAlignment w:val="auto"/>
        <w:rPr>
          <w:rFonts w:hint="eastAsia" w:ascii="仿宋_GB2312" w:hAnsi="仿宋_GB2312" w:eastAsia="仿宋_GB2312" w:cs="仿宋_GB2312"/>
          <w:b w:val="0"/>
          <w:bCs w:val="0"/>
          <w:color w:val="auto"/>
          <w:kern w:val="2"/>
          <w:sz w:val="32"/>
          <w:szCs w:val="32"/>
          <w:u w:val="none"/>
          <w:lang w:eastAsia="zh-CN"/>
        </w:rPr>
      </w:pPr>
      <w:r>
        <w:rPr>
          <w:rFonts w:hint="eastAsia" w:ascii="仿宋_GB2312" w:hAnsi="仿宋_GB2312" w:eastAsia="仿宋_GB2312" w:cs="仿宋_GB2312"/>
          <w:b w:val="0"/>
          <w:bCs w:val="0"/>
          <w:color w:val="auto"/>
          <w:kern w:val="2"/>
          <w:sz w:val="32"/>
          <w:szCs w:val="32"/>
          <w:u w:val="none"/>
        </w:rPr>
        <w:t>（来源</w:t>
      </w:r>
      <w:r>
        <w:rPr>
          <w:rFonts w:hint="eastAsia" w:ascii="仿宋_GB2312" w:hAnsi="仿宋_GB2312" w:eastAsia="仿宋_GB2312" w:cs="仿宋_GB2312"/>
          <w:b w:val="0"/>
          <w:bCs w:val="0"/>
          <w:color w:val="auto"/>
          <w:kern w:val="2"/>
          <w:sz w:val="32"/>
          <w:szCs w:val="32"/>
          <w:u w:val="none"/>
          <w:lang w:eastAsia="zh-CN"/>
        </w:rPr>
        <w:t>红旗区</w:t>
      </w:r>
      <w:r>
        <w:rPr>
          <w:rFonts w:hint="eastAsia" w:ascii="仿宋_GB2312" w:eastAsia="仿宋_GB2312" w:cs="Times New Roman"/>
          <w:b w:val="0"/>
          <w:bCs w:val="0"/>
          <w:color w:val="auto"/>
          <w:sz w:val="32"/>
          <w:szCs w:val="32"/>
          <w:u w:val="none"/>
        </w:rPr>
        <w:t>鼓励建筑业发展专项扶持办法</w:t>
      </w:r>
      <w:r>
        <w:rPr>
          <w:rFonts w:hint="eastAsia" w:ascii="仿宋_GB2312" w:hAnsi="仿宋_GB2312" w:eastAsia="仿宋_GB2312" w:cs="仿宋_GB2312"/>
          <w:b w:val="0"/>
          <w:bCs w:val="0"/>
          <w:color w:val="auto"/>
          <w:kern w:val="2"/>
          <w:sz w:val="32"/>
          <w:szCs w:val="32"/>
          <w:u w:val="none"/>
          <w:lang w:eastAsia="zh-CN"/>
        </w:rPr>
        <w:t>）</w:t>
      </w:r>
    </w:p>
    <w:p>
      <w:pPr>
        <w:pStyle w:val="2"/>
        <w:keepNext w:val="0"/>
        <w:keepLines w:val="0"/>
        <w:pageBreakBefore w:val="0"/>
        <w:widowControl w:val="0"/>
        <w:kinsoku/>
        <w:wordWrap/>
        <w:overflowPunct/>
        <w:topLinePunct w:val="0"/>
        <w:bidi w:val="0"/>
        <w:adjustRightInd w:val="0"/>
        <w:snapToGrid w:val="0"/>
        <w:spacing w:before="0" w:after="0" w:line="600" w:lineRule="exact"/>
        <w:ind w:left="0" w:firstLine="640" w:firstLineChars="200"/>
        <w:jc w:val="both"/>
        <w:textAlignment w:val="auto"/>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u w:val="none"/>
        </w:rPr>
        <w:t>第</w:t>
      </w:r>
      <w:r>
        <w:rPr>
          <w:rFonts w:hint="eastAsia" w:ascii="仿宋_GB2312" w:hAnsi="仿宋_GB2312" w:eastAsia="仿宋_GB2312" w:cs="仿宋_GB2312"/>
          <w:b w:val="0"/>
          <w:bCs w:val="0"/>
          <w:color w:val="auto"/>
          <w:sz w:val="32"/>
          <w:szCs w:val="32"/>
          <w:u w:val="none"/>
          <w:lang w:eastAsia="zh-CN"/>
        </w:rPr>
        <w:t>十三</w:t>
      </w:r>
      <w:r>
        <w:rPr>
          <w:rFonts w:hint="eastAsia" w:ascii="仿宋_GB2312" w:hAnsi="仿宋_GB2312" w:eastAsia="仿宋_GB2312" w:cs="仿宋_GB2312"/>
          <w:b w:val="0"/>
          <w:bCs w:val="0"/>
          <w:color w:val="auto"/>
          <w:sz w:val="32"/>
          <w:szCs w:val="32"/>
          <w:u w:val="none"/>
        </w:rPr>
        <w:t>条</w:t>
      </w:r>
      <w:r>
        <w:rPr>
          <w:rFonts w:hint="eastAsia" w:ascii="仿宋_GB2312" w:hAnsi="仿宋_GB2312" w:eastAsia="仿宋_GB2312" w:cs="仿宋_GB2312"/>
          <w:b w:val="0"/>
          <w:bCs w:val="0"/>
          <w:color w:val="auto"/>
          <w:sz w:val="32"/>
          <w:szCs w:val="32"/>
          <w:u w:val="none"/>
          <w:lang w:val="en-US" w:eastAsia="zh-CN"/>
        </w:rPr>
        <w:t xml:space="preserve">  </w:t>
      </w:r>
      <w:r>
        <w:rPr>
          <w:rFonts w:hint="eastAsia" w:ascii="仿宋_GB2312" w:hAnsi="仿宋_GB2312" w:eastAsia="仿宋_GB2312" w:cs="仿宋_GB2312"/>
          <w:b w:val="0"/>
          <w:bCs w:val="0"/>
          <w:color w:val="auto"/>
          <w:kern w:val="2"/>
          <w:sz w:val="32"/>
          <w:szCs w:val="32"/>
          <w:u w:val="none"/>
          <w:lang w:eastAsia="zh-CN"/>
        </w:rPr>
        <w:t>建立企业家培训</w:t>
      </w:r>
      <w:r>
        <w:rPr>
          <w:rFonts w:hint="eastAsia" w:ascii="仿宋_GB2312" w:hAnsi="仿宋_GB2312" w:eastAsia="仿宋_GB2312" w:cs="仿宋_GB2312"/>
          <w:b w:val="0"/>
          <w:bCs w:val="0"/>
          <w:color w:val="auto"/>
          <w:sz w:val="32"/>
          <w:szCs w:val="32"/>
          <w:u w:val="none"/>
          <w:lang w:eastAsia="zh-CN"/>
        </w:rPr>
        <w:t>制度</w:t>
      </w:r>
      <w:r>
        <w:rPr>
          <w:rFonts w:hint="eastAsia" w:ascii="仿宋_GB2312" w:hAnsi="仿宋_GB2312" w:eastAsia="仿宋_GB2312" w:cs="仿宋_GB2312"/>
          <w:b w:val="0"/>
          <w:bCs w:val="0"/>
          <w:color w:val="auto"/>
          <w:sz w:val="32"/>
          <w:szCs w:val="32"/>
          <w:u w:val="none"/>
          <w:lang w:val="en-US" w:eastAsia="zh-CN"/>
        </w:rPr>
        <w:t>，每</w:t>
      </w:r>
      <w:r>
        <w:rPr>
          <w:rFonts w:hint="eastAsia" w:ascii="仿宋_GB2312" w:hAnsi="仿宋_GB2312" w:eastAsia="仿宋_GB2312" w:cs="仿宋_GB2312"/>
          <w:b w:val="0"/>
          <w:bCs w:val="0"/>
          <w:color w:val="auto"/>
          <w:kern w:val="2"/>
          <w:sz w:val="32"/>
          <w:szCs w:val="32"/>
          <w:u w:val="none"/>
          <w:lang w:val="en-US" w:eastAsia="zh-CN"/>
        </w:rPr>
        <w:t>年拨付不少于100万元的专项资金对红旗区范围内的受表彰优秀</w:t>
      </w:r>
      <w:r>
        <w:rPr>
          <w:rFonts w:hint="eastAsia" w:ascii="仿宋_GB2312" w:hAnsi="仿宋_GB2312" w:eastAsia="仿宋_GB2312" w:cs="仿宋_GB2312"/>
          <w:b w:val="0"/>
          <w:bCs w:val="0"/>
          <w:color w:val="auto"/>
          <w:sz w:val="32"/>
          <w:szCs w:val="32"/>
          <w:u w:val="none"/>
        </w:rPr>
        <w:t>企业家</w:t>
      </w:r>
      <w:r>
        <w:rPr>
          <w:rFonts w:hint="eastAsia" w:ascii="仿宋_GB2312" w:hAnsi="仿宋_GB2312" w:eastAsia="仿宋_GB2312" w:cs="仿宋_GB2312"/>
          <w:b w:val="0"/>
          <w:bCs w:val="0"/>
          <w:color w:val="auto"/>
          <w:sz w:val="32"/>
          <w:szCs w:val="32"/>
          <w:u w:val="none"/>
          <w:lang w:eastAsia="zh-CN"/>
        </w:rPr>
        <w:t>进行</w:t>
      </w:r>
      <w:r>
        <w:rPr>
          <w:rFonts w:hint="eastAsia" w:ascii="仿宋_GB2312" w:hAnsi="仿宋_GB2312" w:eastAsia="仿宋_GB2312" w:cs="仿宋_GB2312"/>
          <w:b w:val="0"/>
          <w:bCs w:val="0"/>
          <w:color w:val="auto"/>
          <w:sz w:val="32"/>
          <w:szCs w:val="32"/>
          <w:u w:val="none"/>
        </w:rPr>
        <w:t>提升</w:t>
      </w:r>
      <w:r>
        <w:rPr>
          <w:rFonts w:ascii="仿宋_GB2312" w:hAnsi="仿宋_GB2312" w:eastAsia="仿宋_GB2312" w:cs="仿宋_GB2312"/>
          <w:b w:val="0"/>
          <w:bCs w:val="0"/>
          <w:color w:val="auto"/>
          <w:sz w:val="32"/>
          <w:szCs w:val="32"/>
          <w:u w:val="none"/>
        </w:rPr>
        <w:t>培训</w:t>
      </w:r>
      <w:r>
        <w:rPr>
          <w:rFonts w:hint="eastAsia" w:ascii="仿宋_GB2312" w:hAnsi="仿宋_GB2312" w:eastAsia="仿宋_GB2312" w:cs="仿宋_GB2312"/>
          <w:b w:val="0"/>
          <w:bCs w:val="0"/>
          <w:color w:val="auto"/>
          <w:sz w:val="32"/>
          <w:szCs w:val="32"/>
          <w:u w:val="none"/>
          <w:lang w:eastAsia="zh-CN"/>
        </w:rPr>
        <w:t>。</w:t>
      </w:r>
    </w:p>
    <w:p>
      <w:pPr>
        <w:pStyle w:val="2"/>
        <w:keepNext w:val="0"/>
        <w:keepLines w:val="0"/>
        <w:pageBreakBefore w:val="0"/>
        <w:widowControl w:val="0"/>
        <w:numPr>
          <w:ilvl w:val="0"/>
          <w:numId w:val="0"/>
        </w:numPr>
        <w:kinsoku/>
        <w:wordWrap/>
        <w:overflowPunct/>
        <w:topLinePunct w:val="0"/>
        <w:bidi w:val="0"/>
        <w:adjustRightInd w:val="0"/>
        <w:snapToGrid w:val="0"/>
        <w:spacing w:before="0" w:after="0" w:line="600" w:lineRule="exact"/>
        <w:ind w:firstLine="640" w:firstLineChars="200"/>
        <w:jc w:val="both"/>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第十</w:t>
      </w:r>
      <w:r>
        <w:rPr>
          <w:rFonts w:hint="eastAsia" w:ascii="仿宋_GB2312" w:hAnsi="仿宋_GB2312" w:eastAsia="仿宋_GB2312" w:cs="仿宋_GB2312"/>
          <w:b w:val="0"/>
          <w:bCs w:val="0"/>
          <w:color w:val="auto"/>
          <w:sz w:val="32"/>
          <w:szCs w:val="32"/>
          <w:u w:val="none"/>
          <w:lang w:eastAsia="zh-CN"/>
        </w:rPr>
        <w:t>四</w:t>
      </w:r>
      <w:r>
        <w:rPr>
          <w:rFonts w:hint="eastAsia" w:ascii="仿宋_GB2312" w:hAnsi="仿宋_GB2312" w:eastAsia="仿宋_GB2312" w:cs="仿宋_GB2312"/>
          <w:b w:val="0"/>
          <w:bCs w:val="0"/>
          <w:color w:val="auto"/>
          <w:sz w:val="32"/>
          <w:szCs w:val="32"/>
          <w:u w:val="none"/>
        </w:rPr>
        <w:t>条</w:t>
      </w:r>
      <w:r>
        <w:rPr>
          <w:rFonts w:hint="eastAsia" w:ascii="仿宋_GB2312" w:hAnsi="仿宋_GB2312" w:eastAsia="仿宋_GB2312" w:cs="仿宋_GB2312"/>
          <w:b w:val="0"/>
          <w:bCs w:val="0"/>
          <w:color w:val="auto"/>
          <w:sz w:val="32"/>
          <w:szCs w:val="32"/>
          <w:u w:val="none"/>
          <w:lang w:val="en-US" w:eastAsia="zh-CN"/>
        </w:rPr>
        <w:t xml:space="preserve">  </w:t>
      </w:r>
      <w:r>
        <w:rPr>
          <w:rFonts w:hint="eastAsia" w:ascii="仿宋_GB2312" w:hAnsi="仿宋_GB2312" w:eastAsia="仿宋_GB2312" w:cs="仿宋_GB2312"/>
          <w:b w:val="0"/>
          <w:bCs w:val="0"/>
          <w:color w:val="auto"/>
          <w:sz w:val="32"/>
          <w:szCs w:val="32"/>
          <w:u w:val="none"/>
        </w:rPr>
        <w:t>立足服务于本区企业，依法注册成立并按章程开展活动的行业协会、联盟、商会等团体组织。经认定，对其活动给予每年最高5万元奖励</w:t>
      </w:r>
      <w:r>
        <w:rPr>
          <w:rFonts w:hint="eastAsia" w:ascii="仿宋_GB2312" w:hAnsi="仿宋_GB2312" w:eastAsia="仿宋_GB2312" w:cs="仿宋_GB2312"/>
          <w:b w:val="0"/>
          <w:bCs w:val="0"/>
          <w:color w:val="auto"/>
          <w:sz w:val="32"/>
          <w:szCs w:val="32"/>
          <w:u w:val="none"/>
          <w:lang w:eastAsia="zh-CN"/>
        </w:rPr>
        <w:t>。影响较大的活动一事一议</w:t>
      </w:r>
      <w:r>
        <w:rPr>
          <w:rFonts w:hint="eastAsia" w:ascii="仿宋_GB2312" w:hAnsi="仿宋_GB2312" w:eastAsia="仿宋_GB2312" w:cs="仿宋_GB2312"/>
          <w:b w:val="0"/>
          <w:bCs w:val="0"/>
          <w:color w:val="auto"/>
          <w:sz w:val="32"/>
          <w:szCs w:val="32"/>
          <w:u w:val="none"/>
        </w:rPr>
        <w:t>。</w:t>
      </w:r>
    </w:p>
    <w:p>
      <w:pPr>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kern w:val="2"/>
          <w:sz w:val="32"/>
          <w:szCs w:val="32"/>
          <w:u w:val="none"/>
          <w:lang w:val="en-US" w:eastAsia="zh-CN" w:bidi="ar-SA"/>
        </w:rPr>
        <w:t xml:space="preserve">第十五条  </w:t>
      </w:r>
      <w:r>
        <w:rPr>
          <w:rFonts w:hint="eastAsia" w:ascii="仿宋_GB2312" w:hAnsi="仿宋_GB2312" w:eastAsia="仿宋_GB2312" w:cs="仿宋_GB2312"/>
          <w:b w:val="0"/>
          <w:bCs w:val="0"/>
          <w:color w:val="auto"/>
          <w:sz w:val="32"/>
          <w:szCs w:val="32"/>
          <w:u w:val="none"/>
        </w:rPr>
        <w:t>对博士研究生以上学历或具有高级职称的企业高管、专业人才,对其未成年子女入托与入学,由区教</w:t>
      </w:r>
      <w:r>
        <w:rPr>
          <w:rFonts w:hint="eastAsia" w:ascii="仿宋_GB2312" w:hAnsi="仿宋_GB2312" w:eastAsia="仿宋_GB2312" w:cs="仿宋_GB2312"/>
          <w:b w:val="0"/>
          <w:bCs w:val="0"/>
          <w:color w:val="auto"/>
          <w:sz w:val="32"/>
          <w:szCs w:val="32"/>
          <w:u w:val="none"/>
          <w:lang w:val="en-US" w:eastAsia="zh-CN"/>
        </w:rPr>
        <w:t>体</w:t>
      </w:r>
      <w:r>
        <w:rPr>
          <w:rFonts w:hint="eastAsia" w:ascii="仿宋_GB2312" w:hAnsi="仿宋_GB2312" w:eastAsia="仿宋_GB2312" w:cs="仿宋_GB2312"/>
          <w:b w:val="0"/>
          <w:bCs w:val="0"/>
          <w:color w:val="auto"/>
          <w:sz w:val="32"/>
          <w:szCs w:val="32"/>
          <w:u w:val="none"/>
        </w:rPr>
        <w:t>文</w:t>
      </w:r>
      <w:r>
        <w:rPr>
          <w:rFonts w:hint="eastAsia" w:ascii="仿宋_GB2312" w:hAnsi="仿宋_GB2312" w:eastAsia="仿宋_GB2312" w:cs="仿宋_GB2312"/>
          <w:b w:val="0"/>
          <w:bCs w:val="0"/>
          <w:color w:val="auto"/>
          <w:sz w:val="32"/>
          <w:szCs w:val="32"/>
          <w:u w:val="none"/>
          <w:lang w:val="en-US" w:eastAsia="zh-CN"/>
        </w:rPr>
        <w:t>旅</w:t>
      </w:r>
      <w:r>
        <w:rPr>
          <w:rFonts w:hint="eastAsia" w:ascii="仿宋_GB2312" w:hAnsi="仿宋_GB2312" w:eastAsia="仿宋_GB2312" w:cs="仿宋_GB2312"/>
          <w:b w:val="0"/>
          <w:bCs w:val="0"/>
          <w:color w:val="auto"/>
          <w:sz w:val="32"/>
          <w:szCs w:val="32"/>
          <w:u w:val="none"/>
        </w:rPr>
        <w:t>局按照工作职责,优先就近安排入学。</w:t>
      </w:r>
    </w:p>
    <w:p>
      <w:pPr>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u w:val="none"/>
        </w:rPr>
        <w:t>（参照</w:t>
      </w:r>
      <w:r>
        <w:rPr>
          <w:rFonts w:hint="eastAsia" w:ascii="仿宋_GB2312" w:hAnsi="仿宋_GB2312" w:eastAsia="仿宋_GB2312" w:cs="仿宋_GB2312"/>
          <w:b w:val="0"/>
          <w:bCs w:val="0"/>
          <w:color w:val="auto"/>
          <w:sz w:val="32"/>
          <w:szCs w:val="32"/>
          <w:u w:val="none"/>
          <w:lang w:eastAsia="zh-CN"/>
        </w:rPr>
        <w:t>《</w:t>
      </w:r>
      <w:r>
        <w:rPr>
          <w:rFonts w:hint="eastAsia" w:ascii="仿宋_GB2312" w:eastAsia="仿宋_GB2312"/>
          <w:b w:val="0"/>
          <w:bCs w:val="0"/>
          <w:color w:val="auto"/>
          <w:sz w:val="32"/>
          <w:szCs w:val="32"/>
          <w:u w:val="none"/>
        </w:rPr>
        <w:t>红旗区鼓励金融及楼宇经济发展专项扶持办法（试行）</w:t>
      </w:r>
      <w:r>
        <w:rPr>
          <w:rFonts w:hint="eastAsia" w:ascii="仿宋_GB2312" w:hAnsi="仿宋_GB2312" w:eastAsia="仿宋_GB2312" w:cs="仿宋_GB2312"/>
          <w:b w:val="0"/>
          <w:bCs w:val="0"/>
          <w:color w:val="auto"/>
          <w:sz w:val="32"/>
          <w:szCs w:val="32"/>
          <w:u w:val="none"/>
          <w:lang w:eastAsia="zh-CN"/>
        </w:rPr>
        <w:t>》</w:t>
      </w:r>
      <w:r>
        <w:rPr>
          <w:rFonts w:hint="eastAsia" w:ascii="仿宋_GB2312" w:eastAsia="仿宋_GB2312"/>
          <w:b w:val="0"/>
          <w:bCs w:val="0"/>
          <w:color w:val="auto"/>
          <w:sz w:val="32"/>
          <w:szCs w:val="32"/>
          <w:u w:val="none"/>
        </w:rPr>
        <w:t>)</w:t>
      </w:r>
    </w:p>
    <w:p>
      <w:pPr>
        <w:pStyle w:val="2"/>
        <w:keepNext w:val="0"/>
        <w:keepLines w:val="0"/>
        <w:pageBreakBefore w:val="0"/>
        <w:widowControl w:val="0"/>
        <w:numPr>
          <w:ilvl w:val="0"/>
          <w:numId w:val="0"/>
        </w:numPr>
        <w:kinsoku/>
        <w:wordWrap/>
        <w:overflowPunct/>
        <w:topLinePunct w:val="0"/>
        <w:bidi w:val="0"/>
        <w:adjustRightInd w:val="0"/>
        <w:snapToGrid w:val="0"/>
        <w:spacing w:before="0" w:after="0" w:line="600" w:lineRule="exact"/>
        <w:ind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kern w:val="2"/>
          <w:sz w:val="32"/>
          <w:szCs w:val="32"/>
          <w:u w:val="none"/>
          <w:lang w:val="en-US" w:eastAsia="zh-CN" w:bidi="ar-SA"/>
        </w:rPr>
        <w:t xml:space="preserve">第十六条  </w:t>
      </w:r>
      <w:r>
        <w:rPr>
          <w:rFonts w:hint="eastAsia" w:ascii="仿宋_GB2312" w:hAnsi="仿宋_GB2312" w:eastAsia="仿宋_GB2312" w:cs="仿宋_GB2312"/>
          <w:b w:val="0"/>
          <w:bCs w:val="0"/>
          <w:color w:val="auto"/>
          <w:sz w:val="32"/>
          <w:szCs w:val="32"/>
          <w:u w:val="none"/>
          <w:lang w:val="en-US" w:eastAsia="zh-CN"/>
        </w:rPr>
        <w:t>政策兑付。本办法中涉及的</w:t>
      </w:r>
      <w:r>
        <w:rPr>
          <w:rFonts w:hint="eastAsia" w:ascii="仿宋_GB2312" w:hAnsi="仿宋_GB2312" w:eastAsia="仿宋_GB2312" w:cs="仿宋_GB2312"/>
          <w:b w:val="0"/>
          <w:bCs w:val="0"/>
          <w:color w:val="auto"/>
          <w:sz w:val="32"/>
          <w:szCs w:val="32"/>
          <w:u w:val="none"/>
        </w:rPr>
        <w:t>扶持</w:t>
      </w:r>
      <w:r>
        <w:rPr>
          <w:rFonts w:hint="eastAsia" w:ascii="仿宋_GB2312" w:hAnsi="仿宋_GB2312" w:eastAsia="仿宋_GB2312" w:cs="仿宋_GB2312"/>
          <w:b w:val="0"/>
          <w:bCs w:val="0"/>
          <w:color w:val="auto"/>
          <w:sz w:val="32"/>
          <w:szCs w:val="32"/>
          <w:u w:val="none"/>
          <w:lang w:eastAsia="zh-CN"/>
        </w:rPr>
        <w:t>资金，</w:t>
      </w:r>
      <w:r>
        <w:rPr>
          <w:rFonts w:hint="eastAsia" w:ascii="仿宋_GB2312" w:hAnsi="仿宋_GB2312" w:eastAsia="仿宋_GB2312" w:cs="仿宋_GB2312"/>
          <w:b w:val="0"/>
          <w:bCs w:val="0"/>
          <w:color w:val="auto"/>
          <w:sz w:val="32"/>
          <w:szCs w:val="32"/>
          <w:u w:val="none"/>
        </w:rPr>
        <w:t>可以现金奖励方式兑现，也可以补助或支持项目配套建设等方式兑现。</w:t>
      </w:r>
      <w:r>
        <w:rPr>
          <w:rFonts w:hint="eastAsia" w:ascii="仿宋_GB2312" w:hAnsi="仿宋_GB2312" w:eastAsia="仿宋_GB2312" w:cs="仿宋_GB2312"/>
          <w:b w:val="0"/>
          <w:bCs w:val="0"/>
          <w:color w:val="auto"/>
          <w:sz w:val="32"/>
          <w:szCs w:val="32"/>
          <w:u w:val="none"/>
          <w:lang w:val="en-US" w:eastAsia="zh-CN"/>
        </w:rPr>
        <w:t>核实企业税收情况及资金兑付由区财政局负责。每年第一季度召开经济表彰大会，对优秀企业家予以表彰并进行奖励兑付。</w:t>
      </w:r>
    </w:p>
    <w:p>
      <w:pPr>
        <w:pStyle w:val="2"/>
        <w:keepNext w:val="0"/>
        <w:keepLines w:val="0"/>
        <w:pageBreakBefore w:val="0"/>
        <w:widowControl w:val="0"/>
        <w:numPr>
          <w:ilvl w:val="0"/>
          <w:numId w:val="0"/>
        </w:numPr>
        <w:kinsoku/>
        <w:wordWrap/>
        <w:overflowPunct/>
        <w:topLinePunct w:val="0"/>
        <w:bidi w:val="0"/>
        <w:adjustRightInd w:val="0"/>
        <w:snapToGrid w:val="0"/>
        <w:spacing w:before="0" w:after="0" w:line="600" w:lineRule="exact"/>
        <w:jc w:val="both"/>
        <w:textAlignment w:val="auto"/>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FF0000"/>
          <w:kern w:val="2"/>
          <w:sz w:val="32"/>
          <w:szCs w:val="32"/>
          <w:u w:val="none"/>
          <w:lang w:val="en-US" w:eastAsia="zh-CN" w:bidi="ar-SA"/>
        </w:rPr>
        <w:t xml:space="preserve">    </w:t>
      </w:r>
      <w:r>
        <w:rPr>
          <w:rFonts w:hint="eastAsia" w:ascii="仿宋_GB2312" w:hAnsi="仿宋_GB2312" w:eastAsia="仿宋_GB2312" w:cs="仿宋_GB2312"/>
          <w:b w:val="0"/>
          <w:bCs w:val="0"/>
          <w:color w:val="auto"/>
          <w:kern w:val="2"/>
          <w:sz w:val="32"/>
          <w:szCs w:val="32"/>
          <w:u w:val="none"/>
          <w:lang w:val="en-US" w:eastAsia="zh-CN" w:bidi="ar-SA"/>
        </w:rPr>
        <w:t>附则：</w:t>
      </w:r>
      <w:r>
        <w:rPr>
          <w:rFonts w:hint="eastAsia" w:ascii="仿宋_GB2312" w:hAnsi="仿宋_GB2312" w:eastAsia="仿宋_GB2312" w:cs="仿宋_GB2312"/>
          <w:b w:val="0"/>
          <w:bCs w:val="0"/>
          <w:color w:val="auto"/>
          <w:sz w:val="32"/>
          <w:szCs w:val="32"/>
          <w:u w:val="none"/>
        </w:rPr>
        <w:t>本办法适用于工商注册、税务登记在红旗区范围内，有健全的财务制度、具有独立法人资格、实行独立核算</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lang w:val="en-US" w:eastAsia="zh-CN"/>
        </w:rPr>
        <w:t>已</w:t>
      </w:r>
      <w:r>
        <w:rPr>
          <w:rFonts w:hint="eastAsia" w:ascii="仿宋_GB2312" w:hAnsi="仿宋" w:eastAsia="仿宋_GB2312" w:cs="仿宋"/>
          <w:b w:val="0"/>
          <w:bCs w:val="0"/>
          <w:color w:val="auto"/>
          <w:sz w:val="32"/>
          <w:szCs w:val="32"/>
          <w:u w:val="none"/>
        </w:rPr>
        <w:t>进入</w:t>
      </w:r>
      <w:r>
        <w:rPr>
          <w:rFonts w:hint="eastAsia" w:ascii="仿宋_GB2312" w:hAnsi="仿宋" w:eastAsia="仿宋_GB2312" w:cs="仿宋"/>
          <w:b w:val="0"/>
          <w:bCs w:val="0"/>
          <w:color w:val="auto"/>
          <w:sz w:val="32"/>
          <w:szCs w:val="32"/>
          <w:u w:val="none"/>
          <w:lang w:val="en-US" w:eastAsia="zh-CN"/>
        </w:rPr>
        <w:t>红旗区</w:t>
      </w:r>
      <w:r>
        <w:rPr>
          <w:rFonts w:hint="eastAsia" w:ascii="仿宋_GB2312" w:hAnsi="仿宋" w:eastAsia="仿宋_GB2312" w:cs="仿宋"/>
          <w:b w:val="0"/>
          <w:bCs w:val="0"/>
          <w:color w:val="auto"/>
          <w:sz w:val="32"/>
          <w:szCs w:val="32"/>
          <w:u w:val="none"/>
        </w:rPr>
        <w:t>“四上”企业库</w:t>
      </w:r>
      <w:r>
        <w:rPr>
          <w:rFonts w:hint="eastAsia" w:ascii="仿宋_GB2312" w:hAnsi="仿宋_GB2312" w:eastAsia="仿宋_GB2312" w:cs="仿宋_GB2312"/>
          <w:b w:val="0"/>
          <w:bCs w:val="0"/>
          <w:color w:val="auto"/>
          <w:sz w:val="32"/>
          <w:szCs w:val="32"/>
          <w:u w:val="none"/>
        </w:rPr>
        <w:t>的企业或机构。</w:t>
      </w:r>
      <w:r>
        <w:rPr>
          <w:rFonts w:hint="eastAsia" w:ascii="仿宋_GB2312" w:hAnsi="仿宋_GB2312" w:eastAsia="仿宋_GB2312" w:cs="仿宋_GB2312"/>
          <w:b w:val="0"/>
          <w:bCs w:val="0"/>
          <w:color w:val="auto"/>
          <w:sz w:val="32"/>
          <w:szCs w:val="32"/>
          <w:u w:val="none"/>
          <w:lang w:eastAsia="zh-CN"/>
        </w:rPr>
        <w:t>区内现有企业新上项目，可享受区招商落户相关政策。</w:t>
      </w:r>
    </w:p>
    <w:p>
      <w:pPr>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u w:val="none"/>
          <w:lang w:eastAsia="zh-CN"/>
        </w:rPr>
        <w:t>本办法与新乡市市级相关政策不重复享受。</w:t>
      </w:r>
    </w:p>
    <w:p>
      <w:pPr>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u w:val="none"/>
          <w:lang w:eastAsia="zh-CN"/>
        </w:rPr>
        <w:t>除本办法外，其他有效期内的区级相关政策继续有效。</w:t>
      </w:r>
      <w:r>
        <w:rPr>
          <w:rFonts w:hint="eastAsia" w:ascii="仿宋_GB2312" w:hAnsi="仿宋_GB2312" w:eastAsia="仿宋_GB2312" w:cs="仿宋_GB2312"/>
          <w:b w:val="0"/>
          <w:bCs w:val="0"/>
          <w:color w:val="auto"/>
          <w:sz w:val="32"/>
          <w:szCs w:val="32"/>
          <w:u w:val="none"/>
        </w:rPr>
        <w:t>符合本办法规定的同一项目、同一事项同时符合本区其他扶持政策规定（含上级部门要求区里配套或负担资金的政策规定）的，按照“从优、就高、不重复、后补助”的原则进行落实，另有规定的除外。之前出台的办法与本办法不一致的，以本办法为准。如遇国家有关法律政策变化，上述办法相应调整修订。</w:t>
      </w:r>
      <w:r>
        <w:rPr>
          <w:rFonts w:hint="eastAsia" w:ascii="仿宋_GB2312" w:hAnsi="仿宋_GB2312" w:eastAsia="仿宋_GB2312" w:cs="仿宋_GB2312"/>
          <w:b w:val="0"/>
          <w:bCs w:val="0"/>
          <w:color w:val="auto"/>
          <w:sz w:val="32"/>
          <w:szCs w:val="32"/>
          <w:u w:val="none"/>
          <w:lang w:eastAsia="zh-CN"/>
        </w:rPr>
        <w:t>已经享受该政策的企业，五年内不得变更工商、税收地址。</w:t>
      </w:r>
    </w:p>
    <w:p>
      <w:pPr>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对于弄虚作假骗取资金的单位和个人，将提请有关部门追究直接责任人和其他有关人员的相关法律责任，依法追回奖金。</w:t>
      </w:r>
    </w:p>
    <w:p>
      <w:pPr>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b w:val="0"/>
          <w:bCs w:val="0"/>
          <w:color w:val="auto"/>
          <w:sz w:val="32"/>
          <w:szCs w:val="32"/>
          <w:u w:val="none"/>
        </w:rPr>
      </w:pPr>
      <w:r>
        <w:rPr>
          <w:rFonts w:hint="eastAsia" w:ascii="仿宋_GB2312" w:hAnsi="仿宋_GB2312" w:eastAsia="仿宋_GB2312" w:cs="仿宋_GB2312"/>
          <w:b w:val="0"/>
          <w:bCs w:val="0"/>
          <w:color w:val="auto"/>
          <w:sz w:val="32"/>
          <w:szCs w:val="32"/>
          <w:u w:val="none"/>
          <w:lang w:val="en-US" w:eastAsia="zh-CN"/>
        </w:rPr>
        <w:t>对于影响力大、产业带动性或者基础支撑性作用较强的项目可实行一事一议。</w:t>
      </w:r>
    </w:p>
    <w:p>
      <w:pPr>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本办法试行期1年，自发布之日起施行，由红旗区</w:t>
      </w:r>
      <w:r>
        <w:rPr>
          <w:rFonts w:hint="eastAsia" w:ascii="仿宋_GB2312" w:hAnsi="仿宋_GB2312" w:eastAsia="仿宋_GB2312" w:cs="仿宋_GB2312"/>
          <w:b w:val="0"/>
          <w:bCs w:val="0"/>
          <w:color w:val="auto"/>
          <w:sz w:val="32"/>
          <w:szCs w:val="32"/>
          <w:u w:val="none"/>
          <w:lang w:val="en-US" w:eastAsia="zh-CN"/>
        </w:rPr>
        <w:t>政府</w:t>
      </w:r>
      <w:r>
        <w:rPr>
          <w:rFonts w:hint="eastAsia" w:ascii="仿宋_GB2312" w:hAnsi="仿宋_GB2312" w:eastAsia="仿宋_GB2312" w:cs="仿宋_GB2312"/>
          <w:b w:val="0"/>
          <w:bCs w:val="0"/>
          <w:color w:val="auto"/>
          <w:sz w:val="32"/>
          <w:szCs w:val="32"/>
          <w:u w:val="none"/>
        </w:rPr>
        <w:t>负责解释。</w:t>
      </w:r>
    </w:p>
    <w:p>
      <w:pPr>
        <w:pStyle w:val="11"/>
        <w:ind w:left="0" w:leftChars="0" w:firstLine="0" w:firstLineChars="0"/>
        <w:rPr>
          <w:color w:val="auto"/>
        </w:rPr>
      </w:pPr>
    </w:p>
    <w:p>
      <w:pPr>
        <w:pStyle w:val="11"/>
        <w:tabs>
          <w:tab w:val="left" w:pos="817"/>
        </w:tabs>
        <w:ind w:left="0" w:leftChars="0" w:firstLine="0" w:firstLineChars="0"/>
        <w:rPr>
          <w:rFonts w:hint="eastAsia" w:ascii="黑体" w:hAnsi="黑体" w:eastAsia="黑体" w:cs="黑体"/>
          <w:color w:val="auto"/>
          <w:sz w:val="32"/>
          <w:szCs w:val="32"/>
          <w:lang w:eastAsia="zh-CN"/>
        </w:rPr>
      </w:pPr>
    </w:p>
    <w:p>
      <w:pPr>
        <w:pStyle w:val="11"/>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textAlignment w:val="auto"/>
        <w:rPr>
          <w:rFonts w:hint="eastAsia"/>
          <w:color w:val="auto"/>
        </w:rPr>
      </w:pPr>
    </w:p>
    <w:p>
      <w:pPr>
        <w:pStyle w:val="11"/>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textAlignment w:val="auto"/>
        <w:rPr>
          <w:rFonts w:hint="eastAsia"/>
          <w:color w:val="auto"/>
        </w:rPr>
      </w:pPr>
    </w:p>
    <w:p>
      <w:pPr>
        <w:pStyle w:val="11"/>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textAlignment w:val="auto"/>
        <w:rPr>
          <w:rFonts w:hint="eastAsia"/>
          <w:color w:val="auto"/>
        </w:rPr>
      </w:pPr>
    </w:p>
    <w:p>
      <w:pPr>
        <w:pStyle w:val="11"/>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textAlignment w:val="auto"/>
        <w:rPr>
          <w:rFonts w:hint="eastAsia"/>
          <w:color w:val="auto"/>
        </w:rPr>
      </w:pPr>
    </w:p>
    <w:p>
      <w:pPr>
        <w:pStyle w:val="11"/>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textAlignment w:val="auto"/>
        <w:rPr>
          <w:rFonts w:hint="eastAsia"/>
          <w:color w:val="auto"/>
        </w:rPr>
      </w:pPr>
    </w:p>
    <w:p>
      <w:pPr>
        <w:pStyle w:val="11"/>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textAlignment w:val="auto"/>
        <w:rPr>
          <w:rFonts w:hint="eastAsia"/>
          <w:color w:val="auto"/>
        </w:rPr>
      </w:pPr>
    </w:p>
    <w:p>
      <w:pPr>
        <w:pStyle w:val="11"/>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textAlignment w:val="auto"/>
        <w:rPr>
          <w:rFonts w:hint="eastAsia"/>
          <w:color w:val="auto"/>
        </w:rPr>
      </w:pPr>
    </w:p>
    <w:p>
      <w:pPr>
        <w:pStyle w:val="11"/>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textAlignment w:val="auto"/>
        <w:rPr>
          <w:rFonts w:hint="eastAsia"/>
          <w:color w:val="auto"/>
        </w:rPr>
      </w:pPr>
    </w:p>
    <w:p>
      <w:pPr>
        <w:pStyle w:val="11"/>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textAlignment w:val="auto"/>
        <w:rPr>
          <w:rFonts w:hint="eastAsia"/>
          <w:color w:val="auto"/>
        </w:rPr>
      </w:pPr>
    </w:p>
    <w:p>
      <w:pPr>
        <w:spacing w:line="240" w:lineRule="auto"/>
        <w:ind w:firstLine="0" w:firstLineChars="0"/>
        <w:rPr>
          <w:rFonts w:hint="eastAsia" w:ascii="仿宋_GB2312" w:hAnsi="仿宋_GB2312" w:eastAsia="仿宋_GB2312" w:cs="仿宋_GB2312"/>
          <w:sz w:val="32"/>
          <w:szCs w:val="32"/>
          <w:lang w:val="en-US" w:eastAsia="zh-CN"/>
        </w:rPr>
        <w:sectPr>
          <w:headerReference r:id="rId3" w:type="default"/>
          <w:footerReference r:id="rId4" w:type="default"/>
          <w:footerReference r:id="rId5" w:type="even"/>
          <w:pgSz w:w="11906" w:h="16838"/>
          <w:pgMar w:top="1928" w:right="1531" w:bottom="1928" w:left="1531" w:header="1418" w:footer="1187" w:gutter="0"/>
          <w:pgNumType w:fmt="numberInDash"/>
          <w:cols w:space="720" w:num="1"/>
          <w:docGrid w:type="lines" w:linePitch="312" w:charSpace="0"/>
        </w:sectPr>
      </w:pPr>
      <w:r>
        <w:rPr>
          <w:rFonts w:hint="eastAsia" w:ascii="仿宋_GB2312" w:eastAsia="仿宋_GB2312"/>
          <w:sz w:val="28"/>
          <w:szCs w:val="28"/>
        </w:rPr>
        <w:t xml:space="preserve"> </w:t>
      </w:r>
      <w:r>
        <w:rPr>
          <w:rFonts w:ascii="仿宋_GB2312"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434975</wp:posOffset>
                </wp:positionV>
                <wp:extent cx="5618480" cy="0"/>
                <wp:effectExtent l="0" t="0" r="0" b="0"/>
                <wp:wrapNone/>
                <wp:docPr id="3" name="Line 4"/>
                <wp:cNvGraphicFramePr/>
                <a:graphic xmlns:a="http://schemas.openxmlformats.org/drawingml/2006/main">
                  <a:graphicData uri="http://schemas.microsoft.com/office/word/2010/wordprocessingShape">
                    <wps:wsp>
                      <wps:cNvCnPr/>
                      <wps:spPr>
                        <a:xfrm>
                          <a:off x="0" y="0"/>
                          <a:ext cx="5618480" cy="0"/>
                        </a:xfrm>
                        <a:prstGeom prst="line">
                          <a:avLst/>
                        </a:prstGeom>
                        <a:ln w="12700" cap="flat" cmpd="sng">
                          <a:solidFill>
                            <a:srgbClr val="000000"/>
                          </a:solidFill>
                          <a:prstDash val="solid"/>
                          <a:headEnd type="none" w="med" len="med"/>
                          <a:tailEnd type="none" w="med" len="med"/>
                        </a:ln>
                        <a:effectLst/>
                      </wps:spPr>
                      <wps:bodyPr upright="true"/>
                    </wps:wsp>
                  </a:graphicData>
                </a:graphic>
              </wp:anchor>
            </w:drawing>
          </mc:Choice>
          <mc:Fallback>
            <w:pict>
              <v:line id="Line 4" o:spid="_x0000_s1026" o:spt="20" style="position:absolute;left:0pt;margin-left:0pt;margin-top:34.25pt;height:0pt;width:442.4pt;z-index:251659264;mso-width-relative:page;mso-height-relative:page;" filled="f" stroked="t" coordsize="21600,21600" o:gfxdata="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FjiB1DVAAAABgEAAA8AAAAA&#10;AAAAAQAgAAAAOAAAAGRycy9kb3ducmV2LnhtbFBLAQIUABQAAAAIAIdO4kDD/PS9yAEAAJ0DAAAO&#10;AAAAAAAAAAEAIAAAADoBAABkcnMvZTJvRG9jLnhtbFBLBQYAAAAABgAGAFkBAAB0BQAAAAA=&#10;">
                <v:fill on="f" focussize="0,0"/>
                <v:stroke weight="1pt" color="#000000" joinstyle="round"/>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618480" cy="0"/>
                <wp:effectExtent l="0" t="0" r="0" b="0"/>
                <wp:wrapNone/>
                <wp:docPr id="4" name="Line 3"/>
                <wp:cNvGraphicFramePr/>
                <a:graphic xmlns:a="http://schemas.openxmlformats.org/drawingml/2006/main">
                  <a:graphicData uri="http://schemas.microsoft.com/office/word/2010/wordprocessingShape">
                    <wps:wsp>
                      <wps:cNvCnPr/>
                      <wps:spPr>
                        <a:xfrm>
                          <a:off x="0" y="0"/>
                          <a:ext cx="5618480" cy="0"/>
                        </a:xfrm>
                        <a:prstGeom prst="line">
                          <a:avLst/>
                        </a:prstGeom>
                        <a:ln w="12700" cap="flat" cmpd="sng">
                          <a:solidFill>
                            <a:srgbClr val="000000"/>
                          </a:solidFill>
                          <a:prstDash val="solid"/>
                          <a:headEnd type="none" w="med" len="med"/>
                          <a:tailEnd type="none" w="med" len="med"/>
                        </a:ln>
                        <a:effectLst/>
                      </wps:spPr>
                      <wps:bodyPr upright="true"/>
                    </wps:wsp>
                  </a:graphicData>
                </a:graphic>
              </wp:anchor>
            </w:drawing>
          </mc:Choice>
          <mc:Fallback>
            <w:pict>
              <v:line id="Line 3" o:spid="_x0000_s1026" o:spt="20" style="position:absolute;left:0pt;margin-left:0pt;margin-top:0pt;height:0pt;width:442.4pt;z-index:251658240;mso-width-relative:page;mso-height-relative:page;" filled="f" stroked="t" coordsize="21600,21600" o:gfxdata="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ODb2+zSAAAAAgEAAA8AAAAAAAAA&#10;AQAgAAAAOAAAAGRycy9kb3ducmV2LnhtbFBLAQIUABQAAAAIAIdO4kAeSHpYyAEAAJ0DAAAOAAAA&#10;AAAAAAEAIAAAADcBAABkcnMvZTJvRG9jLnhtbFBLBQYAAAAABgAGAFkBAABxBQAAAAA=&#10;">
                <v:fill on="f" focussize="0,0"/>
                <v:stroke weight="1pt" color="#000000" joinstyle="round"/>
                <v:imagedata o:title=""/>
                <o:lock v:ext="edit" aspectratio="f"/>
              </v:line>
            </w:pict>
          </mc:Fallback>
        </mc:AlternateContent>
      </w:r>
      <w:r>
        <w:rPr>
          <w:rFonts w:hint="eastAsia" w:ascii="仿宋_GB2312" w:eastAsia="仿宋_GB2312"/>
          <w:sz w:val="28"/>
          <w:szCs w:val="28"/>
        </w:rPr>
        <w:t xml:space="preserve">新乡市红旗区人民政府办公室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20</w:t>
      </w:r>
      <w:r>
        <w:rPr>
          <w:rFonts w:hint="eastAsia" w:ascii="仿宋_GB2312" w:eastAsia="仿宋_GB2312"/>
          <w:sz w:val="28"/>
          <w:szCs w:val="28"/>
          <w:lang w:val="en-US" w:eastAsia="zh-CN"/>
        </w:rPr>
        <w:t>22</w:t>
      </w:r>
      <w:r>
        <w:rPr>
          <w:rFonts w:hint="eastAsia" w:ascii="仿宋_GB2312" w:eastAsia="仿宋_GB2312"/>
          <w:sz w:val="28"/>
          <w:szCs w:val="28"/>
        </w:rPr>
        <w:t>年</w:t>
      </w:r>
      <w:r>
        <w:rPr>
          <w:rFonts w:hint="eastAsia" w:ascii="仿宋_GB2312" w:eastAsia="仿宋_GB2312"/>
          <w:sz w:val="28"/>
          <w:szCs w:val="28"/>
          <w:lang w:val="en-US" w:eastAsia="zh-CN"/>
        </w:rPr>
        <w:t>4</w:t>
      </w:r>
      <w:r>
        <w:rPr>
          <w:rFonts w:hint="eastAsia" w:ascii="仿宋_GB2312" w:eastAsia="仿宋_GB2312"/>
          <w:sz w:val="28"/>
          <w:szCs w:val="28"/>
        </w:rPr>
        <w:t>月</w:t>
      </w:r>
      <w:r>
        <w:rPr>
          <w:rFonts w:hint="eastAsia" w:ascii="仿宋_GB2312" w:eastAsia="仿宋_GB2312"/>
          <w:sz w:val="28"/>
          <w:szCs w:val="28"/>
          <w:lang w:val="en-US" w:eastAsia="zh-CN"/>
        </w:rPr>
        <w:t>24</w:t>
      </w:r>
      <w:r>
        <w:rPr>
          <w:rFonts w:hint="eastAsia" w:ascii="仿宋_GB2312" w:eastAsia="仿宋_GB2312"/>
          <w:sz w:val="28"/>
          <w:szCs w:val="28"/>
        </w:rPr>
        <w:t>日印</w:t>
      </w:r>
      <w:r>
        <w:rPr>
          <w:rFonts w:hint="eastAsia" w:ascii="仿宋_GB2312" w:eastAsia="仿宋_GB2312"/>
          <w:sz w:val="28"/>
          <w:szCs w:val="28"/>
          <w:lang w:eastAsia="zh-CN"/>
        </w:rPr>
        <w:t>发</w:t>
      </w:r>
    </w:p>
    <w:p>
      <w:pPr>
        <w:spacing w:line="600" w:lineRule="exact"/>
      </w:pPr>
    </w:p>
    <w:sectPr>
      <w:footerReference r:id="rId6" w:type="default"/>
      <w:footerReference r:id="rId7" w:type="even"/>
      <w:pgSz w:w="11906" w:h="16838"/>
      <w:pgMar w:top="1985" w:right="1531" w:bottom="1928" w:left="1531" w:header="1418" w:footer="158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2010600030101010101"/>
    <w:charset w:val="86"/>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7"/>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p>
                      </w:txbxContent>
                    </wps:txbx>
                    <wps:bodyPr vert="horz" wrap="none" lIns="0" tIns="0" rIns="0" bIns="0" anchor="t" upright="false">
                      <a:spAutoFit/>
                    </wps:bodyPr>
                  </wps:wsp>
                </a:graphicData>
              </a:graphic>
            </wp:anchor>
          </w:drawing>
        </mc:Choice>
        <mc:Fallback>
          <w:pict>
            <v:shape id="文本框 28"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BoaYJL0wAAAAUBAAAPAAAA&#10;AAAAAAEAIAAAADgAAABkcnMvZG93bnJldi54bWxQSwECFAAUAAAACACHTuJAqfi1ncsBAAB0AwAA&#10;DgAAAAAAAAABACAAAAA4AQAAZHJzL2Uyb0RvYy54bWxQSwUGAAAAAAYABgBZAQAAdQUAAAAA&#10;">
              <v:fill on="f" focussize="0,0"/>
              <v:stroke on="f" weight="1.25pt"/>
              <v:imagedata o:title=""/>
              <o:lock v:ext="edit" aspectratio="f"/>
              <v:textbox inset="0mm,0mm,0mm,0mm" style="mso-fit-shape-to-text:t;">
                <w:txbxContent>
                  <w:p>
                    <w:pPr>
                      <w:pStyle w:val="7"/>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7"/>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- 2 -</w:t>
                          </w:r>
                          <w:r>
                            <w:rPr>
                              <w:rFonts w:hint="eastAsia" w:ascii="仿宋" w:hAnsi="仿宋" w:eastAsia="仿宋" w:cs="仿宋"/>
                              <w:sz w:val="28"/>
                              <w:szCs w:val="28"/>
                              <w:lang w:eastAsia="zh-CN"/>
                            </w:rPr>
                            <w:fldChar w:fldCharType="end"/>
                          </w:r>
                        </w:p>
                      </w:txbxContent>
                    </wps:txbx>
                    <wps:bodyPr vert="horz" wrap="none" lIns="0" tIns="0" rIns="0" bIns="0" anchor="t" upright="false">
                      <a:spAutoFit/>
                    </wps:bodyPr>
                  </wps:wsp>
                </a:graphicData>
              </a:graphic>
            </wp:anchor>
          </w:drawing>
        </mc:Choice>
        <mc:Fallback>
          <w:pict>
            <v:shape id="文本框 29"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aGmCS9MAAAAFAQAADwAA&#10;AAAAAAABACAAAAA4AAAAZHJzL2Rvd25yZXYueG1sUEsBAhQAFAAAAAgAh07iQOw00z3MAQAAdAMA&#10;AA4AAAAAAAAAAQAgAAAAOAEAAGRycy9lMm9Eb2MueG1sUEsFBgAAAAAGAAYAWQEAAHYFAAAAAA==&#10;">
              <v:fill on="f" focussize="0,0"/>
              <v:stroke on="f" weight="1.25pt"/>
              <v:imagedata o:title=""/>
              <o:lock v:ext="edit" aspectratio="f"/>
              <v:textbox inset="0mm,0mm,0mm,0mm" style="mso-fit-shape-to-text:t;">
                <w:txbxContent>
                  <w:p>
                    <w:pPr>
                      <w:pStyle w:val="7"/>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- 2 -</w:t>
                    </w:r>
                    <w:r>
                      <w:rPr>
                        <w:rFonts w:hint="eastAsia" w:ascii="仿宋" w:hAnsi="仿宋" w:eastAsia="仿宋" w:cs="仿宋"/>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F7A945"/>
    <w:multiLevelType w:val="singleLevel"/>
    <w:tmpl w:val="EBF7A945"/>
    <w:lvl w:ilvl="0" w:tentative="0">
      <w:start w:val="1"/>
      <w:numFmt w:val="chineseCounting"/>
      <w:suff w:val="space"/>
      <w:lvlText w:val="第%1条"/>
      <w:lvlJc w:val="left"/>
      <w:rPr>
        <w:rFonts w:hint="eastAsia"/>
      </w:rPr>
    </w:lvl>
  </w:abstractNum>
  <w:abstractNum w:abstractNumId="1">
    <w:nsid w:val="FFF649E7"/>
    <w:multiLevelType w:val="singleLevel"/>
    <w:tmpl w:val="FFF649E7"/>
    <w:lvl w:ilvl="0" w:tentative="0">
      <w:start w:val="2"/>
      <w:numFmt w:val="chineseCounting"/>
      <w:suff w:val="space"/>
      <w:lvlText w:val="第%1条"/>
      <w:lvlJc w:val="left"/>
      <w:rPr>
        <w:rFonts w:hint="eastAsia"/>
      </w:rPr>
    </w:lvl>
  </w:abstractNum>
  <w:abstractNum w:abstractNumId="2">
    <w:nsid w:val="71E8C2BB"/>
    <w:multiLevelType w:val="singleLevel"/>
    <w:tmpl w:val="71E8C2BB"/>
    <w:lvl w:ilvl="0" w:tentative="0">
      <w:start w:val="6"/>
      <w:numFmt w:val="chineseCounting"/>
      <w:suff w:val="space"/>
      <w:lvlText w:val="第%1条"/>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true"/>
  <w:drawingGridHorizontalSpacing w:val="105"/>
  <w:drawingGridVerticalSpacing w:val="156"/>
  <w:displayHorizontalDrawingGridEvery w:val="1"/>
  <w:displayVerticalDrawingGridEvery w:val="1"/>
  <w:noPunctuationKerning w:val="true"/>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8C0576"/>
    <w:rsid w:val="00030D45"/>
    <w:rsid w:val="000A4112"/>
    <w:rsid w:val="000B22AE"/>
    <w:rsid w:val="000C400D"/>
    <w:rsid w:val="000F099D"/>
    <w:rsid w:val="000F5B3B"/>
    <w:rsid w:val="00105DD0"/>
    <w:rsid w:val="0014444A"/>
    <w:rsid w:val="00156B4E"/>
    <w:rsid w:val="00172A27"/>
    <w:rsid w:val="00173D28"/>
    <w:rsid w:val="00174F51"/>
    <w:rsid w:val="001D27AB"/>
    <w:rsid w:val="001E5C14"/>
    <w:rsid w:val="001F3CCD"/>
    <w:rsid w:val="00200C70"/>
    <w:rsid w:val="00220C93"/>
    <w:rsid w:val="00236308"/>
    <w:rsid w:val="002446F1"/>
    <w:rsid w:val="002626C4"/>
    <w:rsid w:val="0029570F"/>
    <w:rsid w:val="00296F25"/>
    <w:rsid w:val="002B51B0"/>
    <w:rsid w:val="002C20BB"/>
    <w:rsid w:val="002D15AE"/>
    <w:rsid w:val="002D3118"/>
    <w:rsid w:val="003226A5"/>
    <w:rsid w:val="00325F2B"/>
    <w:rsid w:val="0033456F"/>
    <w:rsid w:val="00351BDA"/>
    <w:rsid w:val="00366D2A"/>
    <w:rsid w:val="00387DC4"/>
    <w:rsid w:val="003A1C6E"/>
    <w:rsid w:val="003A553E"/>
    <w:rsid w:val="003B034A"/>
    <w:rsid w:val="003F4B24"/>
    <w:rsid w:val="004007A7"/>
    <w:rsid w:val="00415051"/>
    <w:rsid w:val="0041752D"/>
    <w:rsid w:val="004231F0"/>
    <w:rsid w:val="004263D9"/>
    <w:rsid w:val="00431277"/>
    <w:rsid w:val="00447ABE"/>
    <w:rsid w:val="0046220E"/>
    <w:rsid w:val="004A4FDF"/>
    <w:rsid w:val="0050059B"/>
    <w:rsid w:val="00502BB1"/>
    <w:rsid w:val="0051287F"/>
    <w:rsid w:val="005130F4"/>
    <w:rsid w:val="00530270"/>
    <w:rsid w:val="0055516C"/>
    <w:rsid w:val="00555AE9"/>
    <w:rsid w:val="005672A6"/>
    <w:rsid w:val="00577DE0"/>
    <w:rsid w:val="005934AE"/>
    <w:rsid w:val="00593F2E"/>
    <w:rsid w:val="005A137F"/>
    <w:rsid w:val="005B12F1"/>
    <w:rsid w:val="005E2C2D"/>
    <w:rsid w:val="005E5415"/>
    <w:rsid w:val="0060418D"/>
    <w:rsid w:val="006202DB"/>
    <w:rsid w:val="006217FD"/>
    <w:rsid w:val="00623E27"/>
    <w:rsid w:val="0062448A"/>
    <w:rsid w:val="0064386A"/>
    <w:rsid w:val="00645F53"/>
    <w:rsid w:val="00651631"/>
    <w:rsid w:val="006765DF"/>
    <w:rsid w:val="00681F4C"/>
    <w:rsid w:val="00682F50"/>
    <w:rsid w:val="006A0B20"/>
    <w:rsid w:val="006C274E"/>
    <w:rsid w:val="00710E54"/>
    <w:rsid w:val="007238E1"/>
    <w:rsid w:val="007246F9"/>
    <w:rsid w:val="0075071D"/>
    <w:rsid w:val="007529FC"/>
    <w:rsid w:val="007732A6"/>
    <w:rsid w:val="007745B9"/>
    <w:rsid w:val="007D073C"/>
    <w:rsid w:val="007D467B"/>
    <w:rsid w:val="007E0E9D"/>
    <w:rsid w:val="007E54C0"/>
    <w:rsid w:val="007E557B"/>
    <w:rsid w:val="00806BB1"/>
    <w:rsid w:val="00814890"/>
    <w:rsid w:val="00817F3A"/>
    <w:rsid w:val="00824C07"/>
    <w:rsid w:val="008333B5"/>
    <w:rsid w:val="00840D99"/>
    <w:rsid w:val="00841F69"/>
    <w:rsid w:val="00867CAC"/>
    <w:rsid w:val="00873EDF"/>
    <w:rsid w:val="0087622C"/>
    <w:rsid w:val="0089015C"/>
    <w:rsid w:val="008B4695"/>
    <w:rsid w:val="008E597B"/>
    <w:rsid w:val="008F634A"/>
    <w:rsid w:val="00915911"/>
    <w:rsid w:val="0093341C"/>
    <w:rsid w:val="00970BD5"/>
    <w:rsid w:val="00972822"/>
    <w:rsid w:val="00981132"/>
    <w:rsid w:val="00987E8E"/>
    <w:rsid w:val="009D57D7"/>
    <w:rsid w:val="00A24C4B"/>
    <w:rsid w:val="00A35AD5"/>
    <w:rsid w:val="00A36F3C"/>
    <w:rsid w:val="00A455BF"/>
    <w:rsid w:val="00A5192D"/>
    <w:rsid w:val="00A55AA5"/>
    <w:rsid w:val="00A67F5D"/>
    <w:rsid w:val="00A706DA"/>
    <w:rsid w:val="00A70C7F"/>
    <w:rsid w:val="00A76873"/>
    <w:rsid w:val="00AE0702"/>
    <w:rsid w:val="00AE2E8B"/>
    <w:rsid w:val="00B107FE"/>
    <w:rsid w:val="00B16120"/>
    <w:rsid w:val="00B2015B"/>
    <w:rsid w:val="00B57D7B"/>
    <w:rsid w:val="00BA6F0A"/>
    <w:rsid w:val="00BB0C05"/>
    <w:rsid w:val="00BB153C"/>
    <w:rsid w:val="00BC2AD0"/>
    <w:rsid w:val="00BC5E86"/>
    <w:rsid w:val="00BE5174"/>
    <w:rsid w:val="00C1270D"/>
    <w:rsid w:val="00C5663A"/>
    <w:rsid w:val="00C57730"/>
    <w:rsid w:val="00C75B15"/>
    <w:rsid w:val="00C85ECD"/>
    <w:rsid w:val="00CA2C63"/>
    <w:rsid w:val="00CA4D6C"/>
    <w:rsid w:val="00CC213F"/>
    <w:rsid w:val="00CE01EB"/>
    <w:rsid w:val="00CE2EFF"/>
    <w:rsid w:val="00CF1225"/>
    <w:rsid w:val="00CF57AD"/>
    <w:rsid w:val="00D01A20"/>
    <w:rsid w:val="00D13262"/>
    <w:rsid w:val="00D2381D"/>
    <w:rsid w:val="00D56995"/>
    <w:rsid w:val="00D72781"/>
    <w:rsid w:val="00D84A3A"/>
    <w:rsid w:val="00D87EE7"/>
    <w:rsid w:val="00D90381"/>
    <w:rsid w:val="00DD114C"/>
    <w:rsid w:val="00DD6D2F"/>
    <w:rsid w:val="00DD7D1A"/>
    <w:rsid w:val="00DF50E8"/>
    <w:rsid w:val="00E04DFB"/>
    <w:rsid w:val="00E14BB0"/>
    <w:rsid w:val="00E17FC8"/>
    <w:rsid w:val="00E316A1"/>
    <w:rsid w:val="00E564AF"/>
    <w:rsid w:val="00E7625C"/>
    <w:rsid w:val="00E863DC"/>
    <w:rsid w:val="00EB249E"/>
    <w:rsid w:val="00EC2EF1"/>
    <w:rsid w:val="00EC35E1"/>
    <w:rsid w:val="00EC745C"/>
    <w:rsid w:val="00ED0DD3"/>
    <w:rsid w:val="00F011A9"/>
    <w:rsid w:val="00F11093"/>
    <w:rsid w:val="00F37166"/>
    <w:rsid w:val="00F47D22"/>
    <w:rsid w:val="00F64F15"/>
    <w:rsid w:val="00F91354"/>
    <w:rsid w:val="00F94177"/>
    <w:rsid w:val="00FC2D5E"/>
    <w:rsid w:val="00FD1BB2"/>
    <w:rsid w:val="00FD4D8F"/>
    <w:rsid w:val="00FD4E54"/>
    <w:rsid w:val="00FF133D"/>
    <w:rsid w:val="017301CF"/>
    <w:rsid w:val="04497F54"/>
    <w:rsid w:val="04A80DB8"/>
    <w:rsid w:val="06633358"/>
    <w:rsid w:val="09BA18BF"/>
    <w:rsid w:val="0AA97092"/>
    <w:rsid w:val="0D5D798D"/>
    <w:rsid w:val="0E0E6CED"/>
    <w:rsid w:val="0F241169"/>
    <w:rsid w:val="10A74546"/>
    <w:rsid w:val="10D06F5B"/>
    <w:rsid w:val="120D7051"/>
    <w:rsid w:val="133538BA"/>
    <w:rsid w:val="137333F8"/>
    <w:rsid w:val="13EB5078"/>
    <w:rsid w:val="14045CEB"/>
    <w:rsid w:val="143B659B"/>
    <w:rsid w:val="14576EEE"/>
    <w:rsid w:val="14DD31FD"/>
    <w:rsid w:val="151B4E65"/>
    <w:rsid w:val="15431B51"/>
    <w:rsid w:val="15DE0084"/>
    <w:rsid w:val="16034699"/>
    <w:rsid w:val="167A158B"/>
    <w:rsid w:val="172F6697"/>
    <w:rsid w:val="1792055F"/>
    <w:rsid w:val="179C433E"/>
    <w:rsid w:val="17C36EA9"/>
    <w:rsid w:val="17D15EA0"/>
    <w:rsid w:val="191B0430"/>
    <w:rsid w:val="19395DCC"/>
    <w:rsid w:val="195235B6"/>
    <w:rsid w:val="19E02EA0"/>
    <w:rsid w:val="1A9E50B0"/>
    <w:rsid w:val="1B0A7C6C"/>
    <w:rsid w:val="1B35649B"/>
    <w:rsid w:val="1BDF60FA"/>
    <w:rsid w:val="1BE32FB4"/>
    <w:rsid w:val="1C446738"/>
    <w:rsid w:val="1DE251B4"/>
    <w:rsid w:val="1E0D60EA"/>
    <w:rsid w:val="1E5B7017"/>
    <w:rsid w:val="20776154"/>
    <w:rsid w:val="20B44934"/>
    <w:rsid w:val="20D81670"/>
    <w:rsid w:val="210B7789"/>
    <w:rsid w:val="21447665"/>
    <w:rsid w:val="21EC6C10"/>
    <w:rsid w:val="21ED7991"/>
    <w:rsid w:val="242F1357"/>
    <w:rsid w:val="243555F9"/>
    <w:rsid w:val="246D2F5B"/>
    <w:rsid w:val="24B60BBB"/>
    <w:rsid w:val="254215B0"/>
    <w:rsid w:val="25AC056B"/>
    <w:rsid w:val="26723EA0"/>
    <w:rsid w:val="288F4217"/>
    <w:rsid w:val="28A95605"/>
    <w:rsid w:val="28D345D1"/>
    <w:rsid w:val="290C5EF9"/>
    <w:rsid w:val="292A6692"/>
    <w:rsid w:val="29D62F61"/>
    <w:rsid w:val="2A096675"/>
    <w:rsid w:val="2A984938"/>
    <w:rsid w:val="2B9F5D46"/>
    <w:rsid w:val="2C47320C"/>
    <w:rsid w:val="2D3D715C"/>
    <w:rsid w:val="2D5305C3"/>
    <w:rsid w:val="2D5A7676"/>
    <w:rsid w:val="2DDE5E82"/>
    <w:rsid w:val="2DEFAF7D"/>
    <w:rsid w:val="2EF64A8B"/>
    <w:rsid w:val="2F642F4F"/>
    <w:rsid w:val="30FD700A"/>
    <w:rsid w:val="31FA6113"/>
    <w:rsid w:val="324A656F"/>
    <w:rsid w:val="33BF0E23"/>
    <w:rsid w:val="341E72F5"/>
    <w:rsid w:val="36550817"/>
    <w:rsid w:val="38145D11"/>
    <w:rsid w:val="388C0E52"/>
    <w:rsid w:val="39615FEC"/>
    <w:rsid w:val="39DF1114"/>
    <w:rsid w:val="3B923A5B"/>
    <w:rsid w:val="3BCA78E6"/>
    <w:rsid w:val="3BF23C21"/>
    <w:rsid w:val="3CA96714"/>
    <w:rsid w:val="3D4B4623"/>
    <w:rsid w:val="3D6F0031"/>
    <w:rsid w:val="3D7E02FF"/>
    <w:rsid w:val="3DDF76A6"/>
    <w:rsid w:val="3E4619B8"/>
    <w:rsid w:val="3F2F2A23"/>
    <w:rsid w:val="3FAA02DC"/>
    <w:rsid w:val="40D514AA"/>
    <w:rsid w:val="41031E9A"/>
    <w:rsid w:val="44752D98"/>
    <w:rsid w:val="455B290C"/>
    <w:rsid w:val="456B0178"/>
    <w:rsid w:val="464D3F7E"/>
    <w:rsid w:val="46705291"/>
    <w:rsid w:val="46D66444"/>
    <w:rsid w:val="4709251C"/>
    <w:rsid w:val="47935B7C"/>
    <w:rsid w:val="47F31C96"/>
    <w:rsid w:val="484E23F3"/>
    <w:rsid w:val="48F5643E"/>
    <w:rsid w:val="492C01F8"/>
    <w:rsid w:val="49F20BFB"/>
    <w:rsid w:val="4A0C5871"/>
    <w:rsid w:val="4A464069"/>
    <w:rsid w:val="4AEF00BE"/>
    <w:rsid w:val="4B974AEF"/>
    <w:rsid w:val="4C764B79"/>
    <w:rsid w:val="4C8F3727"/>
    <w:rsid w:val="4E197A17"/>
    <w:rsid w:val="4E5A4572"/>
    <w:rsid w:val="4E634927"/>
    <w:rsid w:val="4E8C0576"/>
    <w:rsid w:val="4FF733E1"/>
    <w:rsid w:val="4FFEF5C8"/>
    <w:rsid w:val="501B6ABA"/>
    <w:rsid w:val="52121BB5"/>
    <w:rsid w:val="52545EA1"/>
    <w:rsid w:val="53515519"/>
    <w:rsid w:val="539B3139"/>
    <w:rsid w:val="570322C8"/>
    <w:rsid w:val="574D7933"/>
    <w:rsid w:val="57CA34ED"/>
    <w:rsid w:val="57FE6A16"/>
    <w:rsid w:val="582F7FF7"/>
    <w:rsid w:val="586E1F24"/>
    <w:rsid w:val="58765EA4"/>
    <w:rsid w:val="58967865"/>
    <w:rsid w:val="5A4031EE"/>
    <w:rsid w:val="5A513488"/>
    <w:rsid w:val="5BD347B4"/>
    <w:rsid w:val="5BE84759"/>
    <w:rsid w:val="5CC31611"/>
    <w:rsid w:val="5DB84F00"/>
    <w:rsid w:val="5F0A1E57"/>
    <w:rsid w:val="5FB73CCF"/>
    <w:rsid w:val="5FEF31BE"/>
    <w:rsid w:val="61926589"/>
    <w:rsid w:val="628132A8"/>
    <w:rsid w:val="629009CC"/>
    <w:rsid w:val="62CE27BD"/>
    <w:rsid w:val="65FF44E4"/>
    <w:rsid w:val="66204D73"/>
    <w:rsid w:val="68035254"/>
    <w:rsid w:val="693168CA"/>
    <w:rsid w:val="6A724D32"/>
    <w:rsid w:val="6B165840"/>
    <w:rsid w:val="6B3042F4"/>
    <w:rsid w:val="6B495C83"/>
    <w:rsid w:val="6B4D3E3C"/>
    <w:rsid w:val="6B7571EA"/>
    <w:rsid w:val="6D9735C3"/>
    <w:rsid w:val="6E622751"/>
    <w:rsid w:val="6EDDDC2B"/>
    <w:rsid w:val="6F6822D7"/>
    <w:rsid w:val="6F8A42BE"/>
    <w:rsid w:val="6FB6CBDC"/>
    <w:rsid w:val="718722D2"/>
    <w:rsid w:val="730E0389"/>
    <w:rsid w:val="73CB01C5"/>
    <w:rsid w:val="7505577B"/>
    <w:rsid w:val="75C90437"/>
    <w:rsid w:val="75F50D61"/>
    <w:rsid w:val="764F1059"/>
    <w:rsid w:val="765C4BBA"/>
    <w:rsid w:val="767A3BC7"/>
    <w:rsid w:val="771F5BA8"/>
    <w:rsid w:val="77BCA725"/>
    <w:rsid w:val="7A1B1D4C"/>
    <w:rsid w:val="7C4D75A1"/>
    <w:rsid w:val="7C630EA1"/>
    <w:rsid w:val="7CCE7742"/>
    <w:rsid w:val="7DF91815"/>
    <w:rsid w:val="7E21479D"/>
    <w:rsid w:val="7EBF4C92"/>
    <w:rsid w:val="7EDEBCE7"/>
    <w:rsid w:val="7F357791"/>
    <w:rsid w:val="7F3BEA00"/>
    <w:rsid w:val="7FED67AB"/>
    <w:rsid w:val="9C3FB597"/>
    <w:rsid w:val="DD27AD11"/>
    <w:rsid w:val="DDFDA304"/>
    <w:rsid w:val="FBCF5106"/>
    <w:rsid w:val="FDFF776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3"/>
    <w:basedOn w:val="1"/>
    <w:next w:val="1"/>
    <w:unhideWhenUsed/>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2"/>
    <w:basedOn w:val="1"/>
    <w:qFormat/>
    <w:uiPriority w:val="0"/>
    <w:rPr>
      <w:rFonts w:ascii="Times New Roman" w:hAnsi="Times New Roman" w:cs="Times New Roman"/>
      <w:sz w:val="24"/>
      <w:lang w:bidi="ar-SA"/>
    </w:rPr>
  </w:style>
  <w:style w:type="paragraph" w:styleId="5">
    <w:name w:val="Body Text Indent"/>
    <w:basedOn w:val="1"/>
    <w:qFormat/>
    <w:uiPriority w:val="0"/>
    <w:pPr>
      <w:spacing w:after="120"/>
      <w:ind w:left="420" w:leftChars="200"/>
    </w:pPr>
  </w:style>
  <w:style w:type="paragraph" w:styleId="6">
    <w:name w:val="Date"/>
    <w:basedOn w:val="1"/>
    <w:next w:val="1"/>
    <w:link w:val="18"/>
    <w:unhideWhenUsed/>
    <w:qFormat/>
    <w:uiPriority w:val="99"/>
    <w:pPr>
      <w:ind w:left="100" w:leftChars="25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unhideWhenUsed/>
    <w:qFormat/>
    <w:uiPriority w:val="99"/>
    <w:pPr>
      <w:spacing w:before="100" w:beforeAutospacing="1" w:after="100" w:afterAutospacing="1"/>
    </w:pPr>
    <w:rPr>
      <w:rFonts w:ascii="宋体" w:hAnsi="宋体" w:eastAsia="宋体" w:cs="宋体"/>
      <w:sz w:val="24"/>
      <w:lang w:val="en-US" w:eastAsia="zh-CN" w:bidi="ar-SA"/>
    </w:rPr>
  </w:style>
  <w:style w:type="paragraph" w:styleId="10">
    <w:name w:val="Body Text First Indent"/>
    <w:basedOn w:val="2"/>
    <w:next w:val="11"/>
    <w:qFormat/>
    <w:uiPriority w:val="0"/>
    <w:pPr>
      <w:spacing w:line="600" w:lineRule="exact"/>
    </w:pPr>
    <w:rPr>
      <w:rFonts w:ascii="Calibri" w:hAnsi="Calibri" w:eastAsia="宋体"/>
      <w:szCs w:val="28"/>
    </w:rPr>
  </w:style>
  <w:style w:type="paragraph" w:styleId="11">
    <w:name w:val="Body Text First Indent 2"/>
    <w:basedOn w:val="5"/>
    <w:qFormat/>
    <w:uiPriority w:val="0"/>
    <w:pPr>
      <w:spacing w:line="360" w:lineRule="auto"/>
      <w:ind w:firstLine="420"/>
    </w:pPr>
    <w:rPr>
      <w:szCs w:val="24"/>
    </w:rPr>
  </w:style>
  <w:style w:type="character" w:styleId="14">
    <w:name w:val="page number"/>
    <w:basedOn w:val="13"/>
    <w:unhideWhenUsed/>
    <w:qFormat/>
    <w:uiPriority w:val="99"/>
  </w:style>
  <w:style w:type="paragraph" w:styleId="15">
    <w:name w:val="List Paragraph"/>
    <w:basedOn w:val="1"/>
    <w:qFormat/>
    <w:uiPriority w:val="34"/>
    <w:pPr>
      <w:ind w:firstLine="420" w:firstLineChars="200"/>
    </w:pPr>
    <w:rPr>
      <w:rFonts w:ascii="Calibri" w:hAnsi="Calibri"/>
      <w:szCs w:val="22"/>
    </w:rPr>
  </w:style>
  <w:style w:type="character" w:customStyle="1" w:styleId="16">
    <w:name w:val="NormalCharacter"/>
    <w:semiHidden/>
    <w:qFormat/>
    <w:uiPriority w:val="0"/>
    <w:rPr>
      <w:rFonts w:ascii="Calibri" w:hAnsi="Calibri" w:eastAsia="宋体" w:cs="Times New Roman"/>
      <w:kern w:val="2"/>
      <w:sz w:val="21"/>
      <w:szCs w:val="24"/>
      <w:lang w:val="en-US" w:eastAsia="zh-CN" w:bidi="ar-SA"/>
    </w:rPr>
  </w:style>
  <w:style w:type="character" w:customStyle="1" w:styleId="17">
    <w:name w:val="editortmp"/>
    <w:basedOn w:val="13"/>
    <w:qFormat/>
    <w:uiPriority w:val="0"/>
  </w:style>
  <w:style w:type="character" w:customStyle="1" w:styleId="18">
    <w:name w:val="日期 Char"/>
    <w:basedOn w:val="13"/>
    <w:link w:val="6"/>
    <w:semiHidden/>
    <w:qFormat/>
    <w:uiPriority w:val="99"/>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administrator/\\Xujia\g\2019&#24180;&#25991;&#20214;\&#21457;&#25991;&#27169;&#26495;\&#21306;&#25919;&#24220;&#35831;&#31034;&#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区政府请示模板.dot</Template>
  <Pages>3</Pages>
  <Words>89</Words>
  <Characters>692</Characters>
  <Lines>5</Lines>
  <Paragraphs>1</Paragraphs>
  <TotalTime>6</TotalTime>
  <ScaleCrop>false</ScaleCrop>
  <LinksUpToDate>false</LinksUpToDate>
  <CharactersWithSpaces>777</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2019-10-12T10:44:00Z</dcterms:created>
  <dc:creator>勉</dc:creator>
  <cp:lastModifiedBy>administrator</cp:lastModifiedBy>
  <cp:lastPrinted>2022-04-24T16:36:00Z</cp:lastPrinted>
  <dcterms:modified xsi:type="dcterms:W3CDTF">2022-04-24T16:37:38Z</dcterms:modified>
  <dc:title>红旗区人民政府</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