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仿宋_GB2312" w:hAnsi="方正小标宋_GBK" w:eastAsia="仿宋_GB2312"/>
          <w:kern w:val="32"/>
          <w:sz w:val="32"/>
          <w:szCs w:val="32"/>
          <w:lang w:eastAsia="zh-CN"/>
        </w:rPr>
      </w:pPr>
      <w:r>
        <w:rPr>
          <w:rFonts w:hint="eastAsia" w:ascii="仿宋_GB2312" w:hAnsi="方正小标宋_GBK" w:eastAsia="仿宋_GB2312"/>
          <w:kern w:val="32"/>
          <w:sz w:val="32"/>
          <w:szCs w:val="32"/>
        </w:rPr>
        <w:t>红政〔</w:t>
      </w:r>
      <w:r>
        <w:rPr>
          <w:rFonts w:ascii="仿宋_GB2312" w:hAnsi="方正小标宋_GBK" w:eastAsia="仿宋_GB2312"/>
          <w:kern w:val="32"/>
          <w:sz w:val="32"/>
          <w:szCs w:val="32"/>
        </w:rPr>
        <w:t>20</w:t>
      </w:r>
      <w:r>
        <w:rPr>
          <w:rFonts w:hint="eastAsia" w:ascii="仿宋_GB2312" w:hAnsi="方正小标宋_GBK" w:eastAsia="仿宋_GB2312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方正小标宋_GBK" w:eastAsia="仿宋_GB2312"/>
          <w:kern w:val="32"/>
          <w:sz w:val="32"/>
          <w:szCs w:val="32"/>
        </w:rPr>
        <w:t>〕</w:t>
      </w:r>
      <w:r>
        <w:rPr>
          <w:rFonts w:hint="eastAsia" w:ascii="仿宋_GB2312" w:hAnsi="方正小标宋_GBK" w:eastAsia="仿宋_GB2312"/>
          <w:color w:val="auto"/>
          <w:kern w:val="32"/>
          <w:sz w:val="32"/>
          <w:szCs w:val="32"/>
          <w:lang w:val="en-US" w:eastAsia="zh-CN"/>
        </w:rPr>
        <w:t>44</w:t>
      </w:r>
      <w:r>
        <w:rPr>
          <w:rFonts w:hint="eastAsia" w:ascii="仿宋_GB2312" w:hAnsi="方正小标宋_GBK" w:eastAsia="仿宋_GB2312"/>
          <w:kern w:val="32"/>
          <w:sz w:val="32"/>
          <w:szCs w:val="32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红旗区人民政府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关于印发红旗区工业类招商引资项目第三方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引荐人奖励办法（试行）的通知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各镇、办事处，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新东区，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区政府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部门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《红旗区工业类招商引资项目第三方引荐人奖励办法（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</w:rPr>
        <w:t>试行）》</w:t>
      </w:r>
      <w:r>
        <w:rPr>
          <w:rFonts w:hint="eastAsia" w:ascii="仿宋_GB2312" w:eastAsia="仿宋_GB2312"/>
          <w:sz w:val="32"/>
          <w:szCs w:val="32"/>
        </w:rPr>
        <w:t>已经区政府</w:t>
      </w:r>
      <w:r>
        <w:rPr>
          <w:rFonts w:hint="eastAsia" w:ascii="仿宋_GB2312" w:eastAsia="仿宋_GB2312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92次常务会</w:t>
      </w:r>
      <w:r>
        <w:rPr>
          <w:rFonts w:hint="eastAsia" w:ascii="仿宋_GB2312" w:eastAsia="仿宋_GB2312"/>
          <w:sz w:val="32"/>
          <w:szCs w:val="32"/>
        </w:rPr>
        <w:t>研究同意，现印发给你们，请认真贯彻实施。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红旗区人民政府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红旗区工业类招商引资项目第三方引荐人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奖励办法（试行）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调动社会各界招商引资积极性，拓展招商引资渠道，提高招商实效，引进符合红旗区产业主导方向、投资规模大、科技含量高、带动作用强的项目，加快产业转型升级步伐，实现政府、企业、引荐人三方共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并参考其它开发区的做法，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特制订本办法。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奖励对象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工业类项目成功引进到红旗区投资建设的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招商平台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公司、单位和个人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统称引荐人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工业类项目成功引进到红旗区投资建设的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红旗区政府公职人员（包括公务员、事业及购买服务人员）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第二条  引进项目要求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凡申请本办法奖励的招商项目以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投资正式合同为依据，同时满足下列条件：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项目符合国家产业政策和红旗区主导产业方向（光电信息、先进装备制造），不属于禁止类或限制类产业项目;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引进资金不包括财政性资金或政府投入类项目以及融资代建类项目、PPP模式和捐资项目;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已经签订正式投资合同，并实质性建成投产的招商引资项目(以红旗区建设部门核发的《建筑工程竣工验收备案表》，研发设备购置清单，银行资金到帐证明为主要依据);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项目符合国家、省、市及红旗区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、税务、环保、质监、安监等相关部门的规定和要求，不得出现违法违纪事项和质量、安全事故。项目无其他纠纷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争议的；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同一个引进项目只认定一个奖励对象。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凡符合本办法第二条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要求的，按下列标准进行奖励：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（一）引入征地类工业项目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奖励及标准。项目在我区注册独立核算的法人，签约后18个月内的固定资产投资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（本办法涉及固定资产投资认定均以审计结果为准）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超过1亿元，给予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引荐人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实际固定资产投资额1‰的奖励。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（二）引入租用厂房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000㎡以上并且固定资产投资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千万元以上的工业项目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奖励及标准。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项目在我区注册独立核算的法人并投产后，给予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引荐人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（三）引入项目享受红旗区产业落位政策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，产业政策奖励期结束后，项目合作期限内企业的区级留成部分的10%，奖励给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招商平台公司，奖励上限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招商平台公司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引入项目不享受产业落位政策，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招商平台公司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可代为享受相应产业奖励政策；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单位和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个人引进的给予一次性奖励，不享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后续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区级留成部分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10%。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（享受红旗区产业落位政策是指与区政府签订合同中注明的条款。）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（四）引入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实际使用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外资企业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奖励及标准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。在我区成功注册独立核算外资或合资法人的，签约后18个月内的固定资产投资超过500万美元的项目，给予一次性5万元奖励。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政府公职人员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政府公职人员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引入租用厂房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000㎡以上并且固定资产投资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千万元以上的工业项目，建成当年报请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政府进行表彰奖励，颁发荣誉证书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并奖励现金1万元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入征地类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以上项目并建成投产或开业的，建成当年报请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政府推荐给予记“三等功”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并奖励5万元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对引进的国内外知名的龙头企业和重大项目，采取“一事一议”办法给予奖励，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另行签订补充协议。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引荐项目、引荐人认定和申报程序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引荐项目认定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为确保引荐项目的顺利实施，在引荐项目正常运行的前提下，按实际完成投资总额进行奖励。凡出现以下情况之一的不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1.结合本办法第三条，凡引荐项目固定资产投资额、资金到期时间未能满足最低标准的;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2.由于投资方的因素，建设周期未能满足合同要求(不可抗力因素除外)，且逾期6个月以上的;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3.投资方在项目建设期间自行变更项目建设内容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且未经区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管理方及相关部门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同意的。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该项目投资方未能严格履行与区政府（或者新东区管委会及政府各部门）签订的招商引资合同，视为构成违约。如果在领取奖励后，该招商引资项目投资方构成违约的，则引荐人有义务督促所引荐的项目按照约定履行协议，如果最终该招商引资项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投资方仍然不按约定履行协议，则引荐人要双倍退还已领取的奖励。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（二）引荐人申报及认定。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1.凡符合奖励条件要求的引荐人，在项目合同签订后，到红旗区商务局办理引荐人申报登记手续，填写《红旗区招商引资项目第三方引荐人备案登记表》(见附件1)，并提交以下证明材料：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项目投资者签署的委托引荐人开展投资引荐事务的委托书或证明;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引荐人有效身份证明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引荐人为个人的应提供身份证(护照)原件及复印件;引荐人为单位、组织的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应出具法定代表人签字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（该单位、组织）公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的资质证明及法定代表人身份证原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件、复印件，和单位、组织出具的法定代表人身份证明书。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2.同一个项目一般只认定一个引荐人，如投资者委托两个或两个以上的引荐人，视为一个引荐人团队。若引荐人之间存在分歧且达不成一致意见的，不予受理。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缴纳有关税费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firstLine="640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同一项目不做重复奖励，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引荐人只可选择其中一个申请。且引荐人除依据本办法享受相关奖励政策外，不再享受其他奖励。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（三）奖励申报程序。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1.引荐人所引项目达到奖励条件要求即可进行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申报，引荐人向区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对外开放工作领导小组办公室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提出奖励申请，填写《红旗区招商引资项目第三方引荐人奖励申请表》及以下证明材料：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投资项目备案材料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投资方证明材料(引荐人证明、委托书、投资合同、银行资金到帐证明)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投资方在红旗区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注册和税务登记(原件及复印件)证明材料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投资方达到实质性开工建设及建成投产的证明资料(《建筑工程施工许可证》、研发设备购置清单及建筑工程竣工验收备案表)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2.对引资奖励的认定由区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对外开放工作领导小组办公室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联合区发改委、区统计局等部门和项目所在的辖区镇、办事处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、新东区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，对履约情况及引荐人提交的材料进行审核。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公示。区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对外开放工作领导小组办公室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对审核通过拟奖励的引荐人和奖励金额在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红旗区政府门户网站公示，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公示期为5个工作日。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受理电话：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6307393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兑现。公示无异议后，区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对外开放工作领导小组办公室对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引荐人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一次性拨付奖励资金。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 奖励资金的来源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纳入区级财政预算，由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对外开放工作领导小组办公室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汇总后按程序报批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 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建设周期的界定：制造业项目以项目取得《建筑工程施工许可证》为始点。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对采取各种不正当手段骗取奖励的，追回全部奖励资金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涉嫌犯罪的移交司法机关处理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施行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前签约的项目不得申请相应奖励。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本办法未尽事宜由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本办法试行期1年，自发布之日起施行，如遇上级相关政策调整，按照上级政策执行。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"http://www.xxhdz.gov.cn/gov_Files/gov_files/2017-11-17/20171117084043614413.doc"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红旗区招商引资项目第三方引荐人备案登记表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"http://www.xxhdz.gov.cn/gov_Files/gov_files/2017-11-17/20171117084043614413.doc"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红旗区招商引资项目第三方引荐人奖励申请表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  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  </w:t>
      </w:r>
    </w:p>
    <w:p>
      <w:pPr>
        <w:pStyle w:val="9"/>
        <w:widowControl/>
        <w:spacing w:before="75" w:after="75" w:line="360" w:lineRule="auto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9"/>
        <w:widowControl/>
        <w:spacing w:before="75" w:after="75" w:line="360" w:lineRule="auto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红旗区招商引资项目第三方引荐人备案登记表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2"/>
          <w:szCs w:val="32"/>
        </w:rPr>
      </w:pPr>
    </w:p>
    <w:tbl>
      <w:tblPr>
        <w:tblStyle w:val="12"/>
        <w:tblpPr w:leftFromText="180" w:rightFromText="180" w:vertAnchor="text" w:horzAnchor="page" w:tblpX="1700" w:tblpY="281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221"/>
        <w:gridCol w:w="2172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建设规模与内容</w:t>
            </w: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投资方联系人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投资方确认签字及盖章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引荐单位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引荐单位统一社会信用代码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备案号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所在辖区意见</w:t>
            </w: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（盖章）负责人：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3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区对外开放工作领导小组办公室意见</w:t>
            </w: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区商务局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代章）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pacing w:val="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spacing w:val="0"/>
          <w:sz w:val="28"/>
          <w:szCs w:val="28"/>
        </w:rPr>
        <w:t>注：此表一式两份，申请人一份，</w:t>
      </w:r>
      <w:r>
        <w:rPr>
          <w:rFonts w:hint="eastAsia" w:ascii="Times New Roman" w:hAnsi="Times New Roman" w:eastAsia="仿宋"/>
          <w:spacing w:val="0"/>
          <w:sz w:val="28"/>
          <w:szCs w:val="28"/>
        </w:rPr>
        <w:t>区商务局</w:t>
      </w:r>
      <w:r>
        <w:rPr>
          <w:rFonts w:ascii="Times New Roman" w:hAnsi="Times New Roman" w:eastAsia="仿宋"/>
          <w:spacing w:val="0"/>
          <w:sz w:val="28"/>
          <w:szCs w:val="28"/>
        </w:rPr>
        <w:t>保留一份，盖章有效</w:t>
      </w:r>
    </w:p>
    <w:p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红旗区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招商引资项目第三方引荐人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奖励申请表</w:t>
      </w:r>
    </w:p>
    <w:tbl>
      <w:tblPr>
        <w:tblStyle w:val="12"/>
        <w:tblpPr w:leftFromText="180" w:rightFromText="180" w:vertAnchor="text" w:horzAnchor="page" w:tblpXSpec="center" w:tblpY="499"/>
        <w:tblOverlap w:val="never"/>
        <w:tblW w:w="880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518"/>
        <w:gridCol w:w="7"/>
        <w:gridCol w:w="1712"/>
        <w:gridCol w:w="16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项目名称</w:t>
            </w:r>
          </w:p>
        </w:tc>
        <w:tc>
          <w:tcPr>
            <w:tcW w:w="604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</w:rPr>
              <w:t>引荐单位</w:t>
            </w: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名称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引荐单位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社会信用代码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申请奖励金额（大写）</w:t>
            </w: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hint="eastAsia"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</w:rPr>
              <w:t>引荐人</w:t>
            </w:r>
          </w:p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账户信息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账户名称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账号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2"/>
                <w:sz w:val="30"/>
                <w:szCs w:val="30"/>
              </w:rPr>
              <w:t>开户行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备案号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项目概况、建设进展、资金到位情况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所在辖区意见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（盖章）负责人：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年  月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27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区对外开放工作领导小组办公室意见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spacing w:line="360" w:lineRule="auto"/>
              <w:ind w:firstLine="600" w:firstLineChars="200"/>
              <w:jc w:val="both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区商务局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代章）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负责人：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年  月  日</w:t>
            </w:r>
          </w:p>
        </w:tc>
      </w:tr>
    </w:tbl>
    <w:p>
      <w:pPr>
        <w:spacing w:line="360" w:lineRule="auto"/>
        <w:rPr>
          <w:rFonts w:ascii="Times New Roman" w:hAnsi="Times New Roman" w:eastAsia="仿宋"/>
          <w:spacing w:val="0"/>
          <w:sz w:val="28"/>
          <w:szCs w:val="28"/>
        </w:rPr>
      </w:pPr>
      <w:r>
        <w:rPr>
          <w:rFonts w:ascii="Times New Roman" w:hAnsi="Times New Roman" w:eastAsia="仿宋"/>
          <w:spacing w:val="0"/>
          <w:sz w:val="28"/>
          <w:szCs w:val="28"/>
        </w:rPr>
        <w:t>注：此表一式两份，申请人一份，</w:t>
      </w:r>
      <w:r>
        <w:rPr>
          <w:rFonts w:hint="eastAsia" w:ascii="Times New Roman" w:hAnsi="Times New Roman" w:eastAsia="仿宋"/>
          <w:spacing w:val="0"/>
          <w:sz w:val="28"/>
          <w:szCs w:val="28"/>
        </w:rPr>
        <w:t>区商务局</w:t>
      </w:r>
      <w:r>
        <w:rPr>
          <w:rFonts w:ascii="Times New Roman" w:hAnsi="Times New Roman" w:eastAsia="仿宋"/>
          <w:spacing w:val="0"/>
          <w:sz w:val="28"/>
          <w:szCs w:val="28"/>
        </w:rPr>
        <w:t>保留一份，盖章有效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531" w:bottom="1928" w:left="1531" w:header="1418" w:footer="118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561848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4.25pt;height:0pt;width:442.4pt;z-index:251659264;mso-width-relative:page;mso-height-relative:page;" filled="f" stroked="t" coordsize="21600,21600" o:gfxdata="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jiB1DVAAAABgEAAA8AAAAA&#10;AAAAAQAgAAAAOAAAAGRycy9kb3ducmV2LnhtbFBLAQIUABQAAAAIAIdO4kDD/PS9yAEAAJ0DAAAO&#10;AAAAAAAAAAEAIAAAADo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2.4pt;z-index:251658240;mso-width-relative:page;mso-height-relative:page;" filled="f" stroked="t" coordsize="21600,21600" o:gfxdata="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ODb2+zSAAAAAgEAAA8AAAAAAAAA&#10;AQAgAAAAOAAAAGRycy9kb3ducmV2LnhtbFBLAQIUABQAAAAIAIdO4kAeSHpYyAEAAJ0DAAAOAAAA&#10;AAAAAAEAIAAAADc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新乡市红旗区人民政府办公室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  <w:lang w:eastAsia="zh-CN"/>
        </w:rPr>
        <w:t>发</w:t>
      </w:r>
    </w:p>
    <w:p>
      <w:pPr>
        <w:spacing w:line="600" w:lineRule="exact"/>
      </w:pPr>
    </w:p>
    <w:sectPr>
      <w:footerReference r:id="rId6" w:type="default"/>
      <w:footerReference r:id="rId7" w:type="even"/>
      <w:pgSz w:w="11906" w:h="16838"/>
      <w:pgMar w:top="1985" w:right="1531" w:bottom="1928" w:left="1531" w:header="1418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oaYJL0wAAAAUBAAAPAAAA&#10;AAAAAAEAIAAAADgAAABkcnMvZG93bnJldi54bWxQSwECFAAUAAAACACHTuJAqfi1ncsBAAB0AwAA&#10;DgAAAAAAAAABACAAAAA4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aGmCS9MAAAAFAQAADwAA&#10;AAAAAAABACAAAAA4AAAAZHJzL2Rvd25yZXYueG1sUEsBAhQAFAAAAAgAh07iQOw00z3MAQAAdAMA&#10;AA4AAAAAAAAAAQAgAAAAOAEAAGRycy9lMm9Eb2MueG1sUEsFBgAAAAAGAAYAWQEAAHY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C0576"/>
    <w:rsid w:val="00030D45"/>
    <w:rsid w:val="000A4112"/>
    <w:rsid w:val="000B22AE"/>
    <w:rsid w:val="000C400D"/>
    <w:rsid w:val="000F099D"/>
    <w:rsid w:val="000F5B3B"/>
    <w:rsid w:val="00105DD0"/>
    <w:rsid w:val="0014444A"/>
    <w:rsid w:val="00156B4E"/>
    <w:rsid w:val="00172A27"/>
    <w:rsid w:val="00173D28"/>
    <w:rsid w:val="00174F51"/>
    <w:rsid w:val="001D27AB"/>
    <w:rsid w:val="001E5C14"/>
    <w:rsid w:val="001F3CCD"/>
    <w:rsid w:val="00200C70"/>
    <w:rsid w:val="00220C93"/>
    <w:rsid w:val="00236308"/>
    <w:rsid w:val="002446F1"/>
    <w:rsid w:val="002626C4"/>
    <w:rsid w:val="0029570F"/>
    <w:rsid w:val="00296F25"/>
    <w:rsid w:val="002B51B0"/>
    <w:rsid w:val="002C20BB"/>
    <w:rsid w:val="002D15AE"/>
    <w:rsid w:val="002D3118"/>
    <w:rsid w:val="003226A5"/>
    <w:rsid w:val="00325F2B"/>
    <w:rsid w:val="0033456F"/>
    <w:rsid w:val="00351BDA"/>
    <w:rsid w:val="00366D2A"/>
    <w:rsid w:val="00387DC4"/>
    <w:rsid w:val="003A1C6E"/>
    <w:rsid w:val="003A553E"/>
    <w:rsid w:val="003B034A"/>
    <w:rsid w:val="003F4B24"/>
    <w:rsid w:val="004007A7"/>
    <w:rsid w:val="00415051"/>
    <w:rsid w:val="0041752D"/>
    <w:rsid w:val="004231F0"/>
    <w:rsid w:val="004263D9"/>
    <w:rsid w:val="00431277"/>
    <w:rsid w:val="00447ABE"/>
    <w:rsid w:val="0046220E"/>
    <w:rsid w:val="004A4FDF"/>
    <w:rsid w:val="0050059B"/>
    <w:rsid w:val="00502BB1"/>
    <w:rsid w:val="0051287F"/>
    <w:rsid w:val="005130F4"/>
    <w:rsid w:val="00530270"/>
    <w:rsid w:val="0055516C"/>
    <w:rsid w:val="00555AE9"/>
    <w:rsid w:val="005672A6"/>
    <w:rsid w:val="00577DE0"/>
    <w:rsid w:val="005934AE"/>
    <w:rsid w:val="00593F2E"/>
    <w:rsid w:val="005A137F"/>
    <w:rsid w:val="005B12F1"/>
    <w:rsid w:val="005E2C2D"/>
    <w:rsid w:val="005E5415"/>
    <w:rsid w:val="0060418D"/>
    <w:rsid w:val="006202DB"/>
    <w:rsid w:val="006217FD"/>
    <w:rsid w:val="00623E27"/>
    <w:rsid w:val="0062448A"/>
    <w:rsid w:val="0064386A"/>
    <w:rsid w:val="00645F53"/>
    <w:rsid w:val="00651631"/>
    <w:rsid w:val="006765DF"/>
    <w:rsid w:val="00681F4C"/>
    <w:rsid w:val="00682F50"/>
    <w:rsid w:val="006A0B20"/>
    <w:rsid w:val="006C274E"/>
    <w:rsid w:val="00710E54"/>
    <w:rsid w:val="007238E1"/>
    <w:rsid w:val="007246F9"/>
    <w:rsid w:val="0075071D"/>
    <w:rsid w:val="007529FC"/>
    <w:rsid w:val="007732A6"/>
    <w:rsid w:val="007745B9"/>
    <w:rsid w:val="007D073C"/>
    <w:rsid w:val="007D467B"/>
    <w:rsid w:val="007E0E9D"/>
    <w:rsid w:val="007E54C0"/>
    <w:rsid w:val="007E557B"/>
    <w:rsid w:val="00806BB1"/>
    <w:rsid w:val="00814890"/>
    <w:rsid w:val="00817F3A"/>
    <w:rsid w:val="00824C07"/>
    <w:rsid w:val="008333B5"/>
    <w:rsid w:val="00840D99"/>
    <w:rsid w:val="00841F69"/>
    <w:rsid w:val="00867CAC"/>
    <w:rsid w:val="00873EDF"/>
    <w:rsid w:val="0087622C"/>
    <w:rsid w:val="0089015C"/>
    <w:rsid w:val="008B4695"/>
    <w:rsid w:val="008E597B"/>
    <w:rsid w:val="008F634A"/>
    <w:rsid w:val="00915911"/>
    <w:rsid w:val="0093341C"/>
    <w:rsid w:val="00970BD5"/>
    <w:rsid w:val="00972822"/>
    <w:rsid w:val="00981132"/>
    <w:rsid w:val="00987E8E"/>
    <w:rsid w:val="009D57D7"/>
    <w:rsid w:val="00A24C4B"/>
    <w:rsid w:val="00A35AD5"/>
    <w:rsid w:val="00A36F3C"/>
    <w:rsid w:val="00A455BF"/>
    <w:rsid w:val="00A5192D"/>
    <w:rsid w:val="00A55AA5"/>
    <w:rsid w:val="00A67F5D"/>
    <w:rsid w:val="00A706DA"/>
    <w:rsid w:val="00A70C7F"/>
    <w:rsid w:val="00A76873"/>
    <w:rsid w:val="00AE0702"/>
    <w:rsid w:val="00AE2E8B"/>
    <w:rsid w:val="00B107FE"/>
    <w:rsid w:val="00B16120"/>
    <w:rsid w:val="00B2015B"/>
    <w:rsid w:val="00B57D7B"/>
    <w:rsid w:val="00BA6F0A"/>
    <w:rsid w:val="00BB0C05"/>
    <w:rsid w:val="00BB153C"/>
    <w:rsid w:val="00BC2AD0"/>
    <w:rsid w:val="00BC5E86"/>
    <w:rsid w:val="00BE5174"/>
    <w:rsid w:val="00C1270D"/>
    <w:rsid w:val="00C5663A"/>
    <w:rsid w:val="00C57730"/>
    <w:rsid w:val="00C75B15"/>
    <w:rsid w:val="00C85ECD"/>
    <w:rsid w:val="00CA2C63"/>
    <w:rsid w:val="00CA4D6C"/>
    <w:rsid w:val="00CC213F"/>
    <w:rsid w:val="00CE01EB"/>
    <w:rsid w:val="00CE2EFF"/>
    <w:rsid w:val="00CF1225"/>
    <w:rsid w:val="00CF57AD"/>
    <w:rsid w:val="00D01A20"/>
    <w:rsid w:val="00D13262"/>
    <w:rsid w:val="00D2381D"/>
    <w:rsid w:val="00D56995"/>
    <w:rsid w:val="00D72781"/>
    <w:rsid w:val="00D84A3A"/>
    <w:rsid w:val="00D87EE7"/>
    <w:rsid w:val="00D90381"/>
    <w:rsid w:val="00DD114C"/>
    <w:rsid w:val="00DD6D2F"/>
    <w:rsid w:val="00DD7D1A"/>
    <w:rsid w:val="00DF50E8"/>
    <w:rsid w:val="00E04DFB"/>
    <w:rsid w:val="00E14BB0"/>
    <w:rsid w:val="00E17FC8"/>
    <w:rsid w:val="00E316A1"/>
    <w:rsid w:val="00E564AF"/>
    <w:rsid w:val="00E7625C"/>
    <w:rsid w:val="00E863DC"/>
    <w:rsid w:val="00EB249E"/>
    <w:rsid w:val="00EC2EF1"/>
    <w:rsid w:val="00EC35E1"/>
    <w:rsid w:val="00EC745C"/>
    <w:rsid w:val="00ED0DD3"/>
    <w:rsid w:val="00F011A9"/>
    <w:rsid w:val="00F11093"/>
    <w:rsid w:val="00F37166"/>
    <w:rsid w:val="00F47D22"/>
    <w:rsid w:val="00F64F15"/>
    <w:rsid w:val="00F91354"/>
    <w:rsid w:val="00F94177"/>
    <w:rsid w:val="00FC2D5E"/>
    <w:rsid w:val="00FD1BB2"/>
    <w:rsid w:val="00FD4D8F"/>
    <w:rsid w:val="00FD4E54"/>
    <w:rsid w:val="00FF133D"/>
    <w:rsid w:val="017301CF"/>
    <w:rsid w:val="04497F54"/>
    <w:rsid w:val="04A80DB8"/>
    <w:rsid w:val="06633358"/>
    <w:rsid w:val="09BA18BF"/>
    <w:rsid w:val="0AA97092"/>
    <w:rsid w:val="0D5D798D"/>
    <w:rsid w:val="0E0E6CED"/>
    <w:rsid w:val="0F241169"/>
    <w:rsid w:val="10A74546"/>
    <w:rsid w:val="10D06F5B"/>
    <w:rsid w:val="120D7051"/>
    <w:rsid w:val="133538BA"/>
    <w:rsid w:val="137333F8"/>
    <w:rsid w:val="13EB5078"/>
    <w:rsid w:val="14045CEB"/>
    <w:rsid w:val="143B659B"/>
    <w:rsid w:val="14576EEE"/>
    <w:rsid w:val="14DD31FD"/>
    <w:rsid w:val="151B4E65"/>
    <w:rsid w:val="15431B51"/>
    <w:rsid w:val="15DE0084"/>
    <w:rsid w:val="16034699"/>
    <w:rsid w:val="167A158B"/>
    <w:rsid w:val="172F6697"/>
    <w:rsid w:val="1792055F"/>
    <w:rsid w:val="179C433E"/>
    <w:rsid w:val="17C36EA9"/>
    <w:rsid w:val="17D15EA0"/>
    <w:rsid w:val="191B0430"/>
    <w:rsid w:val="19395DCC"/>
    <w:rsid w:val="195235B6"/>
    <w:rsid w:val="19E02EA0"/>
    <w:rsid w:val="1A9E50B0"/>
    <w:rsid w:val="1B0A7C6C"/>
    <w:rsid w:val="1B35649B"/>
    <w:rsid w:val="1BDF60FA"/>
    <w:rsid w:val="1BE32FB4"/>
    <w:rsid w:val="1C446738"/>
    <w:rsid w:val="1DE251B4"/>
    <w:rsid w:val="1E0D60EA"/>
    <w:rsid w:val="1E5B7017"/>
    <w:rsid w:val="20776154"/>
    <w:rsid w:val="20B44934"/>
    <w:rsid w:val="20D81670"/>
    <w:rsid w:val="210B7789"/>
    <w:rsid w:val="21447665"/>
    <w:rsid w:val="21EC6C10"/>
    <w:rsid w:val="21ED7991"/>
    <w:rsid w:val="242F1357"/>
    <w:rsid w:val="243555F9"/>
    <w:rsid w:val="246D2F5B"/>
    <w:rsid w:val="24B60BBB"/>
    <w:rsid w:val="254215B0"/>
    <w:rsid w:val="25AC056B"/>
    <w:rsid w:val="26723EA0"/>
    <w:rsid w:val="288F4217"/>
    <w:rsid w:val="28A95605"/>
    <w:rsid w:val="28D345D1"/>
    <w:rsid w:val="290C5EF9"/>
    <w:rsid w:val="292A6692"/>
    <w:rsid w:val="29D62F61"/>
    <w:rsid w:val="2A096675"/>
    <w:rsid w:val="2A984938"/>
    <w:rsid w:val="2B9F5D46"/>
    <w:rsid w:val="2C47320C"/>
    <w:rsid w:val="2D3D715C"/>
    <w:rsid w:val="2D5305C3"/>
    <w:rsid w:val="2D5A7676"/>
    <w:rsid w:val="2DDE5E82"/>
    <w:rsid w:val="2DEFAF7D"/>
    <w:rsid w:val="2EF64A8B"/>
    <w:rsid w:val="2F642F4F"/>
    <w:rsid w:val="30FD700A"/>
    <w:rsid w:val="31FA6113"/>
    <w:rsid w:val="324A656F"/>
    <w:rsid w:val="33BF0E23"/>
    <w:rsid w:val="341E72F5"/>
    <w:rsid w:val="36550817"/>
    <w:rsid w:val="38145D11"/>
    <w:rsid w:val="388C0E52"/>
    <w:rsid w:val="39615FEC"/>
    <w:rsid w:val="39DF1114"/>
    <w:rsid w:val="3B923A5B"/>
    <w:rsid w:val="3BCA78E6"/>
    <w:rsid w:val="3BF23C21"/>
    <w:rsid w:val="3CA96714"/>
    <w:rsid w:val="3D4B4623"/>
    <w:rsid w:val="3D6F0031"/>
    <w:rsid w:val="3D7E02FF"/>
    <w:rsid w:val="3DDF76A6"/>
    <w:rsid w:val="3E4619B8"/>
    <w:rsid w:val="3ED78FEC"/>
    <w:rsid w:val="3F2F2A23"/>
    <w:rsid w:val="3FAA02DC"/>
    <w:rsid w:val="40D514AA"/>
    <w:rsid w:val="41031E9A"/>
    <w:rsid w:val="44752D98"/>
    <w:rsid w:val="455B290C"/>
    <w:rsid w:val="456B0178"/>
    <w:rsid w:val="464D3F7E"/>
    <w:rsid w:val="46705291"/>
    <w:rsid w:val="46D66444"/>
    <w:rsid w:val="4709251C"/>
    <w:rsid w:val="47935B7C"/>
    <w:rsid w:val="47F31C96"/>
    <w:rsid w:val="484E23F3"/>
    <w:rsid w:val="48F5643E"/>
    <w:rsid w:val="492C01F8"/>
    <w:rsid w:val="49F20BFB"/>
    <w:rsid w:val="4A0C5871"/>
    <w:rsid w:val="4A464069"/>
    <w:rsid w:val="4AEF00BE"/>
    <w:rsid w:val="4B974AEF"/>
    <w:rsid w:val="4C764B79"/>
    <w:rsid w:val="4C8F3727"/>
    <w:rsid w:val="4E197A17"/>
    <w:rsid w:val="4E5A4572"/>
    <w:rsid w:val="4E634927"/>
    <w:rsid w:val="4E8C0576"/>
    <w:rsid w:val="4FF733E1"/>
    <w:rsid w:val="4FFEF5C8"/>
    <w:rsid w:val="501B6ABA"/>
    <w:rsid w:val="52121BB5"/>
    <w:rsid w:val="52545EA1"/>
    <w:rsid w:val="53515519"/>
    <w:rsid w:val="539B3139"/>
    <w:rsid w:val="570322C8"/>
    <w:rsid w:val="574D7933"/>
    <w:rsid w:val="57CA34ED"/>
    <w:rsid w:val="57FE6A16"/>
    <w:rsid w:val="582F7FF7"/>
    <w:rsid w:val="586E1F24"/>
    <w:rsid w:val="58765EA4"/>
    <w:rsid w:val="58967865"/>
    <w:rsid w:val="5A4031EE"/>
    <w:rsid w:val="5A513488"/>
    <w:rsid w:val="5BD347B4"/>
    <w:rsid w:val="5BE84759"/>
    <w:rsid w:val="5CC31611"/>
    <w:rsid w:val="5DB84F00"/>
    <w:rsid w:val="5F0A1E57"/>
    <w:rsid w:val="5FB73CCF"/>
    <w:rsid w:val="5FEF31BE"/>
    <w:rsid w:val="61926589"/>
    <w:rsid w:val="628132A8"/>
    <w:rsid w:val="629009CC"/>
    <w:rsid w:val="62CE27BD"/>
    <w:rsid w:val="65FF44E4"/>
    <w:rsid w:val="66204D73"/>
    <w:rsid w:val="68035254"/>
    <w:rsid w:val="693168CA"/>
    <w:rsid w:val="6A724D32"/>
    <w:rsid w:val="6B165840"/>
    <w:rsid w:val="6B3042F4"/>
    <w:rsid w:val="6B495C83"/>
    <w:rsid w:val="6B4D3E3C"/>
    <w:rsid w:val="6B7571EA"/>
    <w:rsid w:val="6D9735C3"/>
    <w:rsid w:val="6E622751"/>
    <w:rsid w:val="6EDDDC2B"/>
    <w:rsid w:val="6F6822D7"/>
    <w:rsid w:val="6F8A42BE"/>
    <w:rsid w:val="6FB6CBDC"/>
    <w:rsid w:val="718722D2"/>
    <w:rsid w:val="730E0389"/>
    <w:rsid w:val="73CB01C5"/>
    <w:rsid w:val="7505577B"/>
    <w:rsid w:val="75C90437"/>
    <w:rsid w:val="75F50D61"/>
    <w:rsid w:val="764F1059"/>
    <w:rsid w:val="765C4BBA"/>
    <w:rsid w:val="767A3BC7"/>
    <w:rsid w:val="771F5BA8"/>
    <w:rsid w:val="77BCA725"/>
    <w:rsid w:val="7A1B1D4C"/>
    <w:rsid w:val="7C4D75A1"/>
    <w:rsid w:val="7C630EA1"/>
    <w:rsid w:val="7CCE7742"/>
    <w:rsid w:val="7DB7C3B1"/>
    <w:rsid w:val="7DF91815"/>
    <w:rsid w:val="7E21479D"/>
    <w:rsid w:val="7EBF4C92"/>
    <w:rsid w:val="7EDEBCE7"/>
    <w:rsid w:val="7F357791"/>
    <w:rsid w:val="7F3BEA00"/>
    <w:rsid w:val="7FED67AB"/>
    <w:rsid w:val="9C3FB597"/>
    <w:rsid w:val="D7CF6F32"/>
    <w:rsid w:val="DD27AD11"/>
    <w:rsid w:val="DDFDA304"/>
    <w:rsid w:val="F7F70790"/>
    <w:rsid w:val="FBCF5106"/>
    <w:rsid w:val="FD5F754F"/>
    <w:rsid w:val="FDFF776C"/>
    <w:rsid w:val="FFDB6759"/>
    <w:rsid w:val="FFFF4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ascii="Times New Roman" w:hAnsi="Times New Roman" w:cs="Times New Roman"/>
      <w:sz w:val="24"/>
      <w:lang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styleId="10">
    <w:name w:val="Body Text First Indent"/>
    <w:basedOn w:val="2"/>
    <w:next w:val="11"/>
    <w:qFormat/>
    <w:uiPriority w:val="0"/>
    <w:pPr>
      <w:spacing w:line="600" w:lineRule="exact"/>
    </w:pPr>
    <w:rPr>
      <w:rFonts w:ascii="Calibri" w:hAnsi="Calibri" w:eastAsia="宋体"/>
      <w:szCs w:val="28"/>
    </w:rPr>
  </w:style>
  <w:style w:type="paragraph" w:styleId="11">
    <w:name w:val="Body Text First Indent 2"/>
    <w:basedOn w:val="5"/>
    <w:qFormat/>
    <w:uiPriority w:val="0"/>
    <w:pPr>
      <w:spacing w:line="360" w:lineRule="auto"/>
      <w:ind w:firstLine="420"/>
    </w:pPr>
    <w:rPr>
      <w:szCs w:val="24"/>
    </w:rPr>
  </w:style>
  <w:style w:type="character" w:styleId="14">
    <w:name w:val="page number"/>
    <w:basedOn w:val="13"/>
    <w:unhideWhenUsed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editortmp"/>
    <w:basedOn w:val="13"/>
    <w:qFormat/>
    <w:uiPriority w:val="0"/>
  </w:style>
  <w:style w:type="character" w:customStyle="1" w:styleId="18">
    <w:name w:val="日期 Char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istrator/\\Xujia\g\2019&#24180;&#25991;&#20214;\&#21457;&#25991;&#27169;&#26495;\&#21306;&#25919;&#24220;&#35831;&#3103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区政府请示模板.dot</Template>
  <Pages>3</Pages>
  <Words>89</Words>
  <Characters>692</Characters>
  <Lines>5</Lines>
  <Paragraphs>1</Paragraphs>
  <TotalTime>4</TotalTime>
  <ScaleCrop>false</ScaleCrop>
  <LinksUpToDate>false</LinksUpToDate>
  <CharactersWithSpaces>777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2019-10-12T18:44:00Z</dcterms:created>
  <dc:creator>勉</dc:creator>
  <cp:lastModifiedBy>administrator</cp:lastModifiedBy>
  <cp:lastPrinted>2022-04-24T17:02:35Z</cp:lastPrinted>
  <dcterms:modified xsi:type="dcterms:W3CDTF">2022-04-24T17:02:56Z</dcterms:modified>
  <dc:title>红旗区人民政府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