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ind w:left="0" w:leftChars="0" w:firstLine="0" w:firstLineChars="0"/>
        <w:jc w:val="center"/>
        <w:rPr>
          <w:rFonts w:hint="eastAsia" w:ascii="方正小标宋简体" w:hAnsi="方正小标宋简体" w:eastAsia="方正小标宋简体" w:cs="方正小标宋简体"/>
          <w:b w:val="0"/>
          <w:bCs w:val="0"/>
          <w:sz w:val="44"/>
          <w:szCs w:val="44"/>
          <w:lang w:eastAsia="zh-CN"/>
        </w:rPr>
      </w:pPr>
      <w:r>
        <w:rPr>
          <w:rFonts w:hint="eastAsia" w:ascii="方正小标宋简体" w:hAnsi="方正小标宋简体" w:eastAsia="方正小标宋简体" w:cs="方正小标宋简体"/>
          <w:b w:val="0"/>
          <w:bCs w:val="0"/>
          <w:color w:val="000000" w:themeColor="text1"/>
          <w:sz w:val="44"/>
          <w:szCs w:val="44"/>
          <w:lang w:val="en-US" w:eastAsia="zh-CN"/>
          <w14:textFill>
            <w14:solidFill>
              <w14:schemeClr w14:val="tx1"/>
            </w14:solidFill>
          </w14:textFill>
        </w:rPr>
        <w:t>2022</w:t>
      </w:r>
      <w:r>
        <w:rPr>
          <w:rFonts w:hint="eastAsia" w:ascii="方正小标宋简体" w:hAnsi="方正小标宋简体" w:eastAsia="方正小标宋简体" w:cs="方正小标宋简体"/>
          <w:b w:val="0"/>
          <w:bCs w:val="0"/>
          <w:sz w:val="44"/>
          <w:szCs w:val="44"/>
          <w:lang w:eastAsia="zh-CN"/>
        </w:rPr>
        <w:t>年度红旗区预算绩效工作开展</w:t>
      </w:r>
    </w:p>
    <w:p>
      <w:pPr>
        <w:pStyle w:val="2"/>
        <w:ind w:left="0" w:leftChars="0" w:firstLine="0" w:firstLineChars="0"/>
        <w:jc w:val="center"/>
        <w:rPr>
          <w:rFonts w:hint="eastAsia" w:ascii="方正小标宋简体" w:hAnsi="方正小标宋简体" w:eastAsia="方正小标宋简体" w:cs="方正小标宋简体"/>
          <w:b/>
          <w:bCs/>
          <w:sz w:val="32"/>
          <w:szCs w:val="32"/>
          <w:lang w:val="en-US" w:eastAsia="zh-CN"/>
        </w:rPr>
      </w:pPr>
      <w:r>
        <w:rPr>
          <w:rFonts w:hint="eastAsia" w:ascii="方正小标宋简体" w:hAnsi="方正小标宋简体" w:eastAsia="方正小标宋简体" w:cs="方正小标宋简体"/>
          <w:b w:val="0"/>
          <w:bCs w:val="0"/>
          <w:sz w:val="44"/>
          <w:szCs w:val="44"/>
          <w:lang w:eastAsia="zh-CN"/>
        </w:rPr>
        <w:t>情况说明</w:t>
      </w:r>
    </w:p>
    <w:p>
      <w:pPr>
        <w:ind w:firstLine="642"/>
        <w:rPr>
          <w:rFonts w:hint="eastAsia" w:ascii="仿宋" w:hAnsi="仿宋" w:eastAsia="仿宋" w:cs="仿宋"/>
          <w:sz w:val="32"/>
          <w:szCs w:val="32"/>
          <w:lang w:val="en-US" w:eastAsia="zh-CN"/>
        </w:rPr>
      </w:pPr>
      <w:r>
        <w:rPr>
          <w:rFonts w:hint="eastAsia" w:ascii="仿宋" w:hAnsi="仿宋" w:eastAsia="仿宋" w:cs="仿宋"/>
          <w:sz w:val="32"/>
          <w:szCs w:val="32"/>
        </w:rPr>
        <w:t>为贯彻</w:t>
      </w:r>
      <w:r>
        <w:rPr>
          <w:rFonts w:hint="eastAsia" w:ascii="仿宋" w:hAnsi="仿宋" w:eastAsia="仿宋" w:cs="仿宋"/>
          <w:sz w:val="32"/>
          <w:szCs w:val="32"/>
          <w:lang w:eastAsia="zh-CN"/>
        </w:rPr>
        <w:t>落实</w:t>
      </w:r>
      <w:r>
        <w:rPr>
          <w:rFonts w:hint="eastAsia" w:ascii="仿宋_GB2312" w:hAnsi="仿宋_GB2312" w:eastAsia="仿宋_GB2312" w:cs="仿宋_GB2312"/>
          <w:sz w:val="32"/>
          <w:szCs w:val="32"/>
          <w:lang w:val="en-US" w:eastAsia="zh-CN"/>
        </w:rPr>
        <w:t>《中共新乡市委办公室 新乡市人民政府办公室关于贯彻落实豫发〔2019〕10号精神全面实施预算绩效管理的通知》（新办文〔2020〕10号）和</w:t>
      </w:r>
      <w:r>
        <w:rPr>
          <w:rFonts w:hint="eastAsia" w:ascii="仿宋" w:hAnsi="仿宋" w:eastAsia="仿宋" w:cs="仿宋"/>
          <w:sz w:val="32"/>
          <w:szCs w:val="32"/>
        </w:rPr>
        <w:t>《新乡市财政局关于进一步加强全面预算绩效管理工作的通知》</w:t>
      </w:r>
      <w:r>
        <w:rPr>
          <w:rFonts w:hint="eastAsia" w:ascii="仿宋" w:hAnsi="仿宋" w:eastAsia="仿宋" w:cs="仿宋"/>
          <w:sz w:val="32"/>
          <w:szCs w:val="32"/>
          <w:lang w:eastAsia="zh-CN"/>
        </w:rPr>
        <w:t>（</w:t>
      </w:r>
      <w:r>
        <w:rPr>
          <w:rFonts w:hint="eastAsia" w:ascii="仿宋" w:hAnsi="仿宋" w:eastAsia="仿宋" w:cs="仿宋"/>
          <w:sz w:val="32"/>
          <w:szCs w:val="32"/>
        </w:rPr>
        <w:t>新财效</w:t>
      </w:r>
      <w:r>
        <w:rPr>
          <w:rFonts w:hint="eastAsia" w:ascii="仿宋" w:hAnsi="仿宋" w:eastAsia="仿宋" w:cs="仿宋"/>
          <w:sz w:val="32"/>
          <w:szCs w:val="32"/>
          <w:lang w:val="en-US" w:eastAsia="zh-CN"/>
        </w:rPr>
        <w:t>【</w:t>
      </w:r>
      <w:r>
        <w:rPr>
          <w:rFonts w:hint="eastAsia" w:ascii="仿宋" w:hAnsi="仿宋" w:eastAsia="仿宋" w:cs="仿宋"/>
          <w:sz w:val="32"/>
          <w:szCs w:val="32"/>
        </w:rPr>
        <w:t>2021</w:t>
      </w:r>
      <w:r>
        <w:rPr>
          <w:rFonts w:hint="eastAsia" w:ascii="仿宋" w:hAnsi="仿宋" w:eastAsia="仿宋" w:cs="仿宋"/>
          <w:sz w:val="32"/>
          <w:szCs w:val="32"/>
          <w:lang w:val="en-US" w:eastAsia="zh-CN"/>
        </w:rPr>
        <w:t>】</w:t>
      </w:r>
      <w:r>
        <w:rPr>
          <w:rFonts w:hint="eastAsia" w:ascii="仿宋" w:hAnsi="仿宋" w:eastAsia="仿宋" w:cs="仿宋"/>
          <w:sz w:val="32"/>
          <w:szCs w:val="32"/>
        </w:rPr>
        <w:t>2号</w:t>
      </w:r>
      <w:r>
        <w:rPr>
          <w:rFonts w:hint="eastAsia" w:ascii="仿宋" w:hAnsi="仿宋" w:eastAsia="仿宋" w:cs="仿宋"/>
          <w:sz w:val="32"/>
          <w:szCs w:val="32"/>
          <w:lang w:eastAsia="zh-CN"/>
        </w:rPr>
        <w:t>）</w:t>
      </w:r>
      <w:r>
        <w:rPr>
          <w:rFonts w:hint="eastAsia" w:ascii="仿宋" w:hAnsi="仿宋" w:eastAsia="仿宋" w:cs="仿宋"/>
          <w:sz w:val="32"/>
          <w:szCs w:val="32"/>
        </w:rPr>
        <w:t>文件精神</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红旗区委区政府高度重视预算绩效管理工作，成立了预算绩效管理领导小组，并安排区财政局负责落实预算绩效管理工作的实施和推进。</w:t>
      </w:r>
      <w:r>
        <w:rPr>
          <w:rFonts w:hint="eastAsia" w:ascii="仿宋" w:hAnsi="仿宋" w:eastAsia="仿宋" w:cs="仿宋"/>
          <w:color w:val="000000" w:themeColor="text1"/>
          <w:sz w:val="32"/>
          <w:szCs w:val="32"/>
          <w:lang w:val="en-US" w:eastAsia="zh-CN"/>
          <w14:textFill>
            <w14:solidFill>
              <w14:schemeClr w14:val="tx1"/>
            </w14:solidFill>
          </w14:textFill>
        </w:rPr>
        <w:t>2022</w:t>
      </w:r>
      <w:r>
        <w:rPr>
          <w:rFonts w:hint="eastAsia" w:ascii="仿宋" w:hAnsi="仿宋" w:eastAsia="仿宋" w:cs="仿宋"/>
          <w:sz w:val="32"/>
          <w:szCs w:val="32"/>
          <w:lang w:val="en-US" w:eastAsia="zh-CN"/>
        </w:rPr>
        <w:t>年红旗区预算绩效管理工作取得了一定的成效，同时也存在一定的问题和不足之处，现将一年来预算绩效管理工作总结如下：</w:t>
      </w:r>
    </w:p>
    <w:p>
      <w:pPr>
        <w:pStyle w:val="2"/>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一、预算绩效管理工作前期准备情况</w:t>
      </w:r>
    </w:p>
    <w:p>
      <w:pPr>
        <w:pStyle w:val="2"/>
        <w:numPr>
          <w:ilvl w:val="0"/>
          <w:numId w:val="0"/>
        </w:num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（一）制度保障</w:t>
      </w:r>
    </w:p>
    <w:p>
      <w:pPr>
        <w:ind w:firstLine="640" w:firstLineChars="200"/>
        <w:rPr>
          <w:rFonts w:hint="eastAsia" w:asci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为了全面实施全区预算绩效管理工作，促使全区预算单位深刻理解预算绩效管理工作的意义，首先从制度层面予以保障，陆续制定了《中共红旗区委办公室  红旗区人民政府办公室关于贯彻落实新办文〔2020〕10号精神全面实施预算绩效管理的通知》、《关于印发&lt;红旗区区级预算绩效目标管理办法（试行）&gt;的通知》、《关于印发&lt;红旗区区级预算绩效运行监控管理办法（试行）&gt;的通知》、《关于印发&lt;红旗区财政局预算绩效管理内部工作规程&gt;的通知》、《转发&lt;关于建立全面实施预算绩效管理工作协同联动机制的意见&gt;的通知》、《关于转发&lt;新乡市财政局关于转发共性项目绩效指标体系（试行）的通知&gt;》等文件</w:t>
      </w:r>
      <w:r>
        <w:rPr>
          <w:rFonts w:hint="eastAsia" w:ascii="仿宋_GB2312" w:eastAsia="仿宋_GB2312" w:cs="仿宋_GB2312"/>
          <w:sz w:val="32"/>
          <w:szCs w:val="32"/>
          <w:lang w:val="en-US" w:eastAsia="zh-CN"/>
        </w:rPr>
        <w:t>。</w:t>
      </w:r>
    </w:p>
    <w:p>
      <w:pPr>
        <w:pStyle w:val="2"/>
        <w:numPr>
          <w:ilvl w:val="0"/>
          <w:numId w:val="0"/>
        </w:num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（二）组织和经费保障</w:t>
      </w:r>
    </w:p>
    <w:p>
      <w:pPr>
        <w:pStyle w:val="2"/>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区财政局安排预算科作为预算绩效管理工作牵头科室，并明确财政局内部科室参与预算绩效管理的职责和分工。同时</w:t>
      </w:r>
      <w:r>
        <w:rPr>
          <w:rFonts w:hint="eastAsia" w:ascii="仿宋" w:hAnsi="仿宋" w:eastAsia="仿宋" w:cs="仿宋"/>
          <w:color w:val="000000" w:themeColor="text1"/>
          <w:sz w:val="32"/>
          <w:szCs w:val="32"/>
          <w:lang w:val="en-US" w:eastAsia="zh-CN"/>
          <w14:textFill>
            <w14:solidFill>
              <w14:schemeClr w14:val="tx1"/>
            </w14:solidFill>
          </w14:textFill>
        </w:rPr>
        <w:t>2022年安排预算绩效管理工作经费26</w:t>
      </w:r>
      <w:r>
        <w:rPr>
          <w:rFonts w:hint="eastAsia" w:ascii="仿宋" w:hAnsi="仿宋" w:eastAsia="仿宋" w:cs="仿宋"/>
          <w:sz w:val="32"/>
          <w:szCs w:val="32"/>
          <w:lang w:val="en-US" w:eastAsia="zh-CN"/>
        </w:rPr>
        <w:t>万元，用于组织开展预算绩效管理工作。</w:t>
      </w:r>
    </w:p>
    <w:p>
      <w:pPr>
        <w:pStyle w:val="2"/>
        <w:numPr>
          <w:ilvl w:val="0"/>
          <w:numId w:val="0"/>
        </w:numPr>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（三）宣传培训保障</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基于全区预算单位需进一步了解预算绩效管理工作，以便于开展具体实施工作，首先通过红旗区财政简报宣传绩效管理工作，其次通过建立微信工作群进行业务沟通交流，另外安排中科江南公司对各预算单位（部门）进行预算管理工作实操业务培训。</w:t>
      </w:r>
    </w:p>
    <w:p>
      <w:pPr>
        <w:pStyle w:val="2"/>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二、预算绩效管理工作主要成效</w:t>
      </w:r>
    </w:p>
    <w:p>
      <w:pPr>
        <w:pStyle w:val="2"/>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（一）引入第三方专业机构参与预算绩效管理工作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率先在全市所有县（市、区）中通过公开招标方式聘用两家第三方专业机构对预算绩效管理工作进行全流程指导，</w:t>
      </w:r>
      <w:r>
        <w:rPr>
          <w:rFonts w:hint="eastAsia" w:ascii="仿宋_GB2312" w:hAnsi="仿宋_GB2312" w:eastAsia="仿宋_GB2312" w:cs="仿宋_GB2312"/>
          <w:color w:val="000000" w:themeColor="text1"/>
          <w:sz w:val="32"/>
          <w:szCs w:val="32"/>
          <w14:textFill>
            <w14:solidFill>
              <w14:schemeClr w14:val="tx1"/>
            </w14:solidFill>
          </w14:textFill>
        </w:rPr>
        <w:t>对全区10个重点项目和2个部门整体开展重点绩效评价</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工作</w:t>
      </w:r>
      <w:r>
        <w:rPr>
          <w:rFonts w:hint="eastAsia" w:ascii="仿宋_GB2312" w:hAnsi="仿宋_GB2312" w:eastAsia="仿宋_GB2312" w:cs="仿宋_GB2312"/>
          <w:color w:val="000000" w:themeColor="text1"/>
          <w:sz w:val="32"/>
          <w:szCs w:val="32"/>
          <w14:textFill>
            <w14:solidFill>
              <w14:schemeClr w14:val="tx1"/>
            </w14:solidFill>
          </w14:textFill>
        </w:rPr>
        <w:t>。</w:t>
      </w:r>
    </w:p>
    <w:p>
      <w:pPr>
        <w:pStyle w:val="2"/>
        <w:rPr>
          <w:rFonts w:hint="default" w:eastAsia="仿宋_GB231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二）明确部门预算绩效管理工作具体内容</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通过前期准备工作的开展，明确部门预算绩效管理工作的具体内容，包括但不限于</w:t>
      </w:r>
      <w:r>
        <w:rPr>
          <w:rFonts w:hint="eastAsia" w:ascii="仿宋" w:hAnsi="仿宋" w:eastAsia="仿宋" w:cs="仿宋"/>
          <w:sz w:val="32"/>
          <w:szCs w:val="32"/>
        </w:rPr>
        <w:t>《预算项目绩效目标自评表</w:t>
      </w:r>
      <w:r>
        <w:rPr>
          <w:rFonts w:hint="eastAsia" w:ascii="仿宋" w:hAnsi="仿宋" w:eastAsia="仿宋" w:cs="仿宋"/>
          <w:sz w:val="32"/>
          <w:szCs w:val="32"/>
          <w:lang w:eastAsia="zh-CN"/>
        </w:rPr>
        <w:t>、自评报告</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《预算项目绩效目标申报</w:t>
      </w:r>
      <w:r>
        <w:rPr>
          <w:rFonts w:hint="eastAsia" w:ascii="仿宋" w:hAnsi="仿宋" w:eastAsia="仿宋" w:cs="仿宋"/>
          <w:sz w:val="32"/>
          <w:szCs w:val="32"/>
          <w:lang w:eastAsia="zh-CN"/>
        </w:rPr>
        <w:t>表</w:t>
      </w:r>
      <w:r>
        <w:rPr>
          <w:rFonts w:hint="eastAsia" w:ascii="仿宋" w:hAnsi="仿宋" w:eastAsia="仿宋" w:cs="仿宋"/>
          <w:sz w:val="32"/>
          <w:szCs w:val="32"/>
        </w:rPr>
        <w:t>、监控</w:t>
      </w:r>
      <w:r>
        <w:rPr>
          <w:rFonts w:hint="eastAsia" w:ascii="仿宋" w:hAnsi="仿宋" w:eastAsia="仿宋" w:cs="仿宋"/>
          <w:sz w:val="32"/>
          <w:szCs w:val="32"/>
          <w:lang w:eastAsia="zh-CN"/>
        </w:rPr>
        <w:t>表</w:t>
      </w:r>
      <w:r>
        <w:rPr>
          <w:rFonts w:hint="eastAsia" w:ascii="仿宋" w:hAnsi="仿宋" w:eastAsia="仿宋" w:cs="仿宋"/>
          <w:sz w:val="32"/>
          <w:szCs w:val="32"/>
        </w:rPr>
        <w:t>、</w:t>
      </w:r>
      <w:r>
        <w:rPr>
          <w:rFonts w:hint="eastAsia" w:ascii="仿宋" w:hAnsi="仿宋" w:eastAsia="仿宋" w:cs="仿宋"/>
          <w:sz w:val="32"/>
          <w:szCs w:val="32"/>
          <w:lang w:eastAsia="zh-CN"/>
        </w:rPr>
        <w:t>监控报告</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《事前项目绩效</w:t>
      </w:r>
      <w:r>
        <w:rPr>
          <w:rFonts w:hint="eastAsia" w:ascii="仿宋" w:hAnsi="仿宋" w:eastAsia="仿宋" w:cs="仿宋"/>
          <w:sz w:val="32"/>
          <w:szCs w:val="32"/>
          <w:lang w:eastAsia="zh-CN"/>
        </w:rPr>
        <w:t>目标申报表</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rPr>
        <w:t>《事前项目绩效评估报告》</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《部门整体支出绩效目标自评表、自评报告》、《部门整体支出绩效目标申报表、监控表、监控报告》等。</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（三）全面指导监督部门预算绩效管理工作</w:t>
      </w:r>
    </w:p>
    <w:p>
      <w:pPr>
        <w:pStyle w:val="2"/>
        <w:numPr>
          <w:ilvl w:val="0"/>
          <w:numId w:val="0"/>
        </w:num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区财政局预算科组织协调各业务科室，对部门预算绩效管理工作进行指导监督，如通过微信群等沟通工具，与第三方机构一起，对部门预算绩效管理工作开展中遇到的问题进行及时沟通，通过自身财政专业技能和研读政策文件等，适时予以完善和解决，提高部门预算绩效管理工作的效率和效果。</w:t>
      </w:r>
    </w:p>
    <w:p>
      <w:pPr>
        <w:pStyle w:val="2"/>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（四）加强预算绩效管理工作审核力度</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对各部门的预算绩效管理工作完成情况，要求按照时间节点进行汇总上报，同时区财政局各业务科室进行初步审核，审核过程中对不符合要求的进行意见反馈，并提出修改完善意见，部门整改后进行再次审核。</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（五）高度重视重点项目和部门整体绩效评价工作</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是从重点项目和部门整体选择上，选取专项债券、重点民生工程等项目和社会公众关注的部门；二是从严要求中介机构开展绩效评价工作，如绩效评价指标体系设立上、绩效评价报告草稿，要求充分与被评价单位、区财政局业务科室、预算科进行沟通，并实事求是独立客观地出具绩效评价报告；三是及时反馈绩效评价报告结果，要求尽快整改到位。</w:t>
      </w:r>
    </w:p>
    <w:p>
      <w:pPr>
        <w:pStyle w:val="2"/>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三、预算绩效管理工作存在的问题</w:t>
      </w:r>
    </w:p>
    <w:p>
      <w:pPr>
        <w:pStyle w:val="2"/>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（一）区预算绩效管理工作重视程度有待进一步提高</w:t>
      </w:r>
    </w:p>
    <w:p>
      <w:pPr>
        <w:ind w:firstLine="640" w:firstLineChars="200"/>
        <w:rPr>
          <w:rFonts w:hint="default" w:ascii="仿宋" w:hAnsi="仿宋" w:eastAsia="仿宋" w:cs="仿宋"/>
          <w:sz w:val="32"/>
          <w:szCs w:val="32"/>
          <w:lang w:val="en-US" w:eastAsia="zh-CN"/>
        </w:rPr>
      </w:pPr>
      <w:r>
        <w:rPr>
          <w:rFonts w:hint="eastAsia" w:ascii="仿宋" w:hAnsi="仿宋" w:eastAsia="仿宋" w:cs="仿宋"/>
          <w:color w:val="000000" w:themeColor="text1"/>
          <w:sz w:val="32"/>
          <w:szCs w:val="32"/>
          <w:lang w:val="en-US" w:eastAsia="zh-CN"/>
          <w14:textFill>
            <w14:solidFill>
              <w14:schemeClr w14:val="tx1"/>
            </w14:solidFill>
          </w14:textFill>
        </w:rPr>
        <w:t>2022年我区持续强绩效约束，在充分准备前期工作的基础上，具体实施过程中强化监督指导，总体目标完成情况良好。但</w:t>
      </w:r>
      <w:r>
        <w:rPr>
          <w:rFonts w:hint="eastAsia" w:ascii="仿宋" w:hAnsi="仿宋" w:eastAsia="仿宋" w:cs="仿宋"/>
          <w:sz w:val="32"/>
          <w:szCs w:val="32"/>
          <w:lang w:val="en-US" w:eastAsia="zh-CN"/>
        </w:rPr>
        <w:t>是在预算绩效管理体系建设方面还存在很大不足之处，与政策文件要求的“加快构建全方位、全过程、全覆盖的预算绩效管理体系”尚有一定距离。</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（二）部门预算绩效管理意识有待提高</w:t>
      </w:r>
    </w:p>
    <w:p>
      <w:pPr>
        <w:pStyle w:val="2"/>
        <w:numPr>
          <w:ilvl w:val="0"/>
          <w:numId w:val="0"/>
        </w:numPr>
        <w:ind w:firstLine="640" w:firstLineChars="20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通过近两年的全面预算绩效管理工作的实施，部门预算绩效管理工作取得了一些成绩，但在预算绩效管理意识上还有提高的空间，主要体现在预算绩效指标的设定上、事中监控和事后自评的问题发现和措施整改上。</w:t>
      </w:r>
    </w:p>
    <w:p>
      <w:pPr>
        <w:pStyle w:val="2"/>
        <w:numPr>
          <w:ilvl w:val="0"/>
          <w:numId w:val="0"/>
        </w:numPr>
        <w:ind w:firstLine="643" w:firstLineChars="200"/>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四、预算绩效管理工作下一步计划</w:t>
      </w:r>
    </w:p>
    <w:p>
      <w:pPr>
        <w:pStyle w:val="2"/>
        <w:numPr>
          <w:ilvl w:val="0"/>
          <w:numId w:val="0"/>
        </w:numPr>
        <w:rPr>
          <w:rFonts w:hint="default" w:ascii="仿宋" w:hAnsi="仿宋" w:eastAsia="仿宋" w:cs="仿宋"/>
          <w:b w:val="0"/>
          <w:bCs w:val="0"/>
          <w:sz w:val="32"/>
          <w:szCs w:val="32"/>
          <w:lang w:val="en-US" w:eastAsia="zh-CN"/>
        </w:rPr>
      </w:pPr>
      <w:r>
        <w:rPr>
          <w:rFonts w:hint="eastAsia" w:ascii="仿宋" w:hAnsi="仿宋" w:eastAsia="仿宋" w:cs="仿宋"/>
          <w:b/>
          <w:bCs/>
          <w:sz w:val="32"/>
          <w:szCs w:val="32"/>
          <w:lang w:val="en-US" w:eastAsia="zh-CN"/>
        </w:rPr>
        <w:t xml:space="preserve">  </w:t>
      </w:r>
      <w:r>
        <w:rPr>
          <w:rFonts w:hint="eastAsia" w:ascii="仿宋" w:hAnsi="仿宋" w:eastAsia="仿宋" w:cs="仿宋"/>
          <w:b w:val="0"/>
          <w:bCs w:val="0"/>
          <w:sz w:val="32"/>
          <w:szCs w:val="32"/>
          <w:lang w:val="en-US" w:eastAsia="zh-CN"/>
        </w:rPr>
        <w:t xml:space="preserve"> （一）提高预算绩效意识，强化预算绩效工作力度</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是进一步加强预算绩效管理工作的宣传，增强预算绩效意识，二是组织区财政局各业务科室进一步学习政策文件，提高自身预算绩效管理能力，从预算安排、执行、决算等方面促使财政业务与预算绩效管理结合，进而从财政资金管理角度全面提升和强化预算绩效管理工作。</w:t>
      </w:r>
    </w:p>
    <w:p>
      <w:pPr>
        <w:pStyle w:val="2"/>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（二）多方面举措并行，全面提高部门预算绩效管理工作能力</w:t>
      </w:r>
    </w:p>
    <w:p>
      <w:pPr>
        <w:pStyle w:val="2"/>
        <w:numPr>
          <w:ilvl w:val="0"/>
          <w:numId w:val="0"/>
        </w:numPr>
        <w:ind w:firstLine="640"/>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一是聘请第三方评价机构加强部门预算绩效管理培训；二是通过微信公众号、主流媒体等途径开展政策宣传、案例解析、类似项目分享等；三是加大对部门预算绩效管理的考核力度，考核成绩与预算安排、调整等挂钩。</w:t>
      </w:r>
    </w:p>
    <w:p>
      <w:pPr>
        <w:pStyle w:val="2"/>
        <w:numPr>
          <w:ilvl w:val="0"/>
          <w:numId w:val="0"/>
        </w:num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（三）聘请专家参与重点项目和部门整体绩效评价评审工作</w:t>
      </w:r>
    </w:p>
    <w:p>
      <w:pPr>
        <w:pStyle w:val="2"/>
        <w:numPr>
          <w:ilvl w:val="0"/>
          <w:numId w:val="0"/>
        </w:num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2022年度的重点项目和部门整体绩效评价工作，聘请专家参与评审打分，既可以督促被评价单位更好开展预算绩效管理工作，又可以检验第三方专业机构的胜任能力和敬业精神。</w:t>
      </w:r>
    </w:p>
    <w:p>
      <w:pPr>
        <w:pStyle w:val="2"/>
        <w:numPr>
          <w:ilvl w:val="0"/>
          <w:numId w:val="0"/>
        </w:num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p>
    <w:p>
      <w:pPr>
        <w:pStyle w:val="2"/>
        <w:numPr>
          <w:ilvl w:val="0"/>
          <w:numId w:val="0"/>
        </w:numPr>
        <w:rPr>
          <w:rFonts w:hint="eastAsia" w:ascii="仿宋" w:hAnsi="仿宋" w:eastAsia="仿宋" w:cs="仿宋"/>
          <w:sz w:val="32"/>
          <w:szCs w:val="32"/>
          <w:lang w:val="en-US" w:eastAsia="zh-CN"/>
        </w:rPr>
      </w:pPr>
    </w:p>
    <w:p>
      <w:pPr>
        <w:pStyle w:val="2"/>
        <w:numPr>
          <w:ilvl w:val="0"/>
          <w:numId w:val="0"/>
        </w:numPr>
        <w:rPr>
          <w:rFonts w:hint="default" w:ascii="仿宋" w:hAnsi="仿宋" w:eastAsia="仿宋" w:cs="仿宋"/>
          <w:sz w:val="32"/>
          <w:szCs w:val="32"/>
          <w:lang w:val="en-US" w:eastAsia="zh-CN"/>
        </w:rPr>
      </w:pPr>
    </w:p>
    <w:p>
      <w:pPr>
        <w:pStyle w:val="2"/>
        <w:numPr>
          <w:ilvl w:val="0"/>
          <w:numId w:val="0"/>
        </w:numPr>
        <w:ind w:firstLine="6080" w:firstLineChars="19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红旗区财政局</w:t>
      </w:r>
    </w:p>
    <w:p>
      <w:pPr>
        <w:pStyle w:val="2"/>
        <w:numPr>
          <w:ilvl w:val="0"/>
          <w:numId w:val="0"/>
        </w:numPr>
        <w:ind w:firstLine="5120" w:firstLineChars="1600"/>
        <w:jc w:val="righ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2023年9月7</w:t>
      </w:r>
      <w:bookmarkStart w:id="0" w:name="_GoBack"/>
      <w:bookmarkEnd w:id="0"/>
      <w:r>
        <w:rPr>
          <w:rFonts w:hint="eastAsia" w:ascii="仿宋" w:hAnsi="仿宋" w:eastAsia="仿宋" w:cs="仿宋"/>
          <w:sz w:val="32"/>
          <w:szCs w:val="32"/>
          <w:lang w:val="en-US" w:eastAsia="zh-CN"/>
        </w:rPr>
        <w:t>日</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FiZDIzMjBhYjY3YjcwYmIxYWI1NjM4YzVmYjEyMDMifQ=="/>
  </w:docVars>
  <w:rsids>
    <w:rsidRoot w:val="00000000"/>
    <w:rsid w:val="01415CD2"/>
    <w:rsid w:val="09D35B22"/>
    <w:rsid w:val="13692AB3"/>
    <w:rsid w:val="14983B72"/>
    <w:rsid w:val="15B67BD6"/>
    <w:rsid w:val="16805686"/>
    <w:rsid w:val="19EB703B"/>
    <w:rsid w:val="1A693E78"/>
    <w:rsid w:val="1ADD03C2"/>
    <w:rsid w:val="1D486230"/>
    <w:rsid w:val="1DDE2C0D"/>
    <w:rsid w:val="20177D4F"/>
    <w:rsid w:val="21C36564"/>
    <w:rsid w:val="23241284"/>
    <w:rsid w:val="26BD62BD"/>
    <w:rsid w:val="27072965"/>
    <w:rsid w:val="2CEE58E5"/>
    <w:rsid w:val="2E695321"/>
    <w:rsid w:val="354557D1"/>
    <w:rsid w:val="35A16764"/>
    <w:rsid w:val="36274212"/>
    <w:rsid w:val="3AFC4E59"/>
    <w:rsid w:val="3E9C2551"/>
    <w:rsid w:val="3F5E5077"/>
    <w:rsid w:val="3F783712"/>
    <w:rsid w:val="3FC26DC1"/>
    <w:rsid w:val="407C5E04"/>
    <w:rsid w:val="41DA3292"/>
    <w:rsid w:val="460D74FE"/>
    <w:rsid w:val="461005B0"/>
    <w:rsid w:val="471940D5"/>
    <w:rsid w:val="47825D12"/>
    <w:rsid w:val="4A28380D"/>
    <w:rsid w:val="4C850E06"/>
    <w:rsid w:val="4CE36456"/>
    <w:rsid w:val="53342C48"/>
    <w:rsid w:val="562C448C"/>
    <w:rsid w:val="56521F8E"/>
    <w:rsid w:val="5C4C26D6"/>
    <w:rsid w:val="5F993E84"/>
    <w:rsid w:val="609D70B8"/>
    <w:rsid w:val="61054E38"/>
    <w:rsid w:val="61AB7E9F"/>
    <w:rsid w:val="62B407EC"/>
    <w:rsid w:val="64A35E1D"/>
    <w:rsid w:val="64AA08E2"/>
    <w:rsid w:val="660C6F89"/>
    <w:rsid w:val="67EA13ED"/>
    <w:rsid w:val="683A785F"/>
    <w:rsid w:val="69B41DCB"/>
    <w:rsid w:val="6A892D47"/>
    <w:rsid w:val="6BA240C1"/>
    <w:rsid w:val="6D8405A5"/>
    <w:rsid w:val="6DBF4EF0"/>
    <w:rsid w:val="70CB0999"/>
    <w:rsid w:val="755F3023"/>
    <w:rsid w:val="75B72E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2118</Words>
  <Characters>2161</Characters>
  <Lines>0</Lines>
  <Paragraphs>0</Paragraphs>
  <TotalTime>53</TotalTime>
  <ScaleCrop>false</ScaleCrop>
  <LinksUpToDate>false</LinksUpToDate>
  <CharactersWithSpaces>2165</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2022-03-21T11:30:00Z</dcterms:created>
  <dc:creator>zhao</dc:creator>
  <cp:lastModifiedBy>涣涣兮</cp:lastModifiedBy>
  <dcterms:modified xsi:type="dcterms:W3CDTF">2024-04-03T09:06:30Z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E536FE7ED64041A39B94B4523554A3F0</vt:lpwstr>
  </property>
</Properties>
</file>