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 w:val="0"/>
          <w:bCs/>
          <w:sz w:val="44"/>
          <w:szCs w:val="44"/>
          <w:lang w:eastAsia="zh-CN"/>
        </w:rPr>
      </w:pPr>
      <w:r>
        <w:rPr>
          <w:rFonts w:hint="eastAsia" w:ascii="方正小标宋简体" w:hAnsi="方正小标宋简体" w:eastAsia="方正小标宋简体" w:cs="方正小标宋简体"/>
          <w:b w:val="0"/>
          <w:bCs/>
          <w:sz w:val="44"/>
          <w:szCs w:val="44"/>
          <w:lang w:val="en-US" w:eastAsia="zh-CN"/>
        </w:rPr>
        <w:t>2022</w:t>
      </w:r>
      <w:r>
        <w:rPr>
          <w:rFonts w:hint="eastAsia" w:ascii="方正小标宋简体" w:hAnsi="方正小标宋简体" w:eastAsia="方正小标宋简体" w:cs="方正小标宋简体"/>
          <w:b w:val="0"/>
          <w:bCs/>
          <w:sz w:val="44"/>
          <w:szCs w:val="44"/>
        </w:rPr>
        <w:t>年</w:t>
      </w:r>
      <w:r>
        <w:rPr>
          <w:rFonts w:hint="eastAsia" w:ascii="方正小标宋简体" w:hAnsi="方正小标宋简体" w:eastAsia="方正小标宋简体" w:cs="方正小标宋简体"/>
          <w:b w:val="0"/>
          <w:bCs/>
          <w:sz w:val="44"/>
          <w:szCs w:val="44"/>
          <w:lang w:eastAsia="zh-CN"/>
        </w:rPr>
        <w:t>度</w:t>
      </w:r>
      <w:r>
        <w:rPr>
          <w:rFonts w:hint="eastAsia" w:ascii="方正小标宋简体" w:hAnsi="方正小标宋简体" w:eastAsia="方正小标宋简体" w:cs="方正小标宋简体"/>
          <w:b w:val="0"/>
          <w:bCs/>
          <w:sz w:val="44"/>
          <w:szCs w:val="44"/>
        </w:rPr>
        <w:t>红旗区</w:t>
      </w:r>
      <w:r>
        <w:rPr>
          <w:rFonts w:hint="eastAsia" w:ascii="方正小标宋简体" w:hAnsi="方正小标宋简体" w:eastAsia="方正小标宋简体" w:cs="方正小标宋简体"/>
          <w:b w:val="0"/>
          <w:bCs/>
          <w:sz w:val="44"/>
          <w:szCs w:val="44"/>
          <w:lang w:eastAsia="zh-CN"/>
        </w:rPr>
        <w:t>公开重大政策</w:t>
      </w:r>
    </w:p>
    <w:p>
      <w:pPr>
        <w:jc w:val="center"/>
        <w:rPr>
          <w:rFonts w:hint="eastAsia" w:ascii="方正小标宋简体" w:hAnsi="方正小标宋简体" w:eastAsia="方正小标宋简体" w:cs="方正小标宋简体"/>
          <w:b w:val="0"/>
          <w:bCs/>
          <w:sz w:val="44"/>
          <w:szCs w:val="44"/>
          <w:lang w:eastAsia="zh-CN"/>
        </w:rPr>
      </w:pPr>
      <w:r>
        <w:rPr>
          <w:rFonts w:hint="eastAsia" w:ascii="方正小标宋简体" w:hAnsi="方正小标宋简体" w:eastAsia="方正小标宋简体" w:cs="方正小标宋简体"/>
          <w:b w:val="0"/>
          <w:bCs/>
          <w:sz w:val="44"/>
          <w:szCs w:val="44"/>
          <w:lang w:eastAsia="zh-CN"/>
        </w:rPr>
        <w:t>和重点项目绩效执行结果情况说明</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rPr>
          <w:rFonts w:hint="eastAsia" w:ascii="楷体_GB2312" w:hAnsi="楷体_GB2312" w:eastAsia="楷体_GB2312" w:cs="楷体_GB2312"/>
          <w:b/>
          <w:bCs/>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b/>
          <w:bCs/>
          <w:color w:val="000000" w:themeColor="text1"/>
          <w:sz w:val="32"/>
          <w:szCs w:val="32"/>
          <w:lang w:val="en-US" w:eastAsia="zh-CN"/>
          <w14:textFill>
            <w14:solidFill>
              <w14:schemeClr w14:val="tx1"/>
            </w14:solidFill>
          </w14:textFill>
        </w:rPr>
        <w:t>（一）多措并举聚财力，财政收支保持平稳增长</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一是强化收入征管。努力克服减税降费、新冠肺炎疫情、洪涝灾害、“六稳”“六保”刚性支出等因素影响，财政部门加强部门联动，做好税源分析，狠抓收入征管，圆满完成全区一般公共预算收入目标。二是积极向上争取资金。紧盯政策资金投向，全面梳理发债需求，大力推进新增债券申报工作，2022年全区新发行地方政府债券</w:t>
      </w:r>
      <w:r>
        <w:rPr>
          <w:rFonts w:hint="eastAsia" w:ascii="仿宋_GB2312" w:eastAsia="仿宋_GB2312"/>
          <w:color w:val="000000" w:themeColor="text1"/>
          <w:kern w:val="0"/>
          <w:sz w:val="32"/>
          <w:szCs w:val="32"/>
          <w:lang w:val="en-US" w:eastAsia="zh-CN"/>
          <w14:textFill>
            <w14:solidFill>
              <w14:schemeClr w14:val="tx1"/>
            </w14:solidFill>
          </w14:textFill>
        </w:rPr>
        <w:t>5.16亿元</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，其中新增一般债券1.1亿元，新增专项债券4.06亿元，</w:t>
      </w:r>
      <w:r>
        <w:rPr>
          <w:rFonts w:hint="eastAsia" w:ascii="仿宋_GB2312" w:hAnsi="Calibri" w:eastAsia="仿宋_GB2312" w:cs="Times New Roman"/>
          <w:b w:val="0"/>
          <w:bCs w:val="0"/>
          <w:color w:val="000000" w:themeColor="text1"/>
          <w:spacing w:val="-10"/>
          <w:sz w:val="32"/>
          <w:szCs w:val="32"/>
          <w:lang w:val="en-US" w:eastAsia="zh-CN"/>
          <w14:textFill>
            <w14:solidFill>
              <w14:schemeClr w14:val="tx1"/>
            </w14:solidFill>
          </w14:textFill>
        </w:rPr>
        <w:t>在全市十六个发行专项债券县（市）、区中排名第十，在四个建制区中排名第一</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三是盘活财政存量资金。为平衡财政收支压力，财政部门积极采取措施，2022年收回各类结余和沉淀闲置结转资金865万元。四是加强预算评审力度。2022年共完成预算评审项目40项，送审金额19679.62万元，审定金额18171.18万元，审减金额1559.37万元，节约财政资金1507.78万元，审减率7.66%。</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rPr>
          <w:rFonts w:hint="eastAsia" w:ascii="楷体_GB2312" w:hAnsi="楷体_GB2312" w:eastAsia="楷体_GB2312" w:cs="楷体_GB2312"/>
          <w:b/>
          <w:bCs/>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b/>
          <w:bCs/>
          <w:color w:val="000000" w:themeColor="text1"/>
          <w:sz w:val="32"/>
          <w:szCs w:val="32"/>
          <w:lang w:val="en-US" w:eastAsia="zh-CN"/>
          <w14:textFill>
            <w14:solidFill>
              <w14:schemeClr w14:val="tx1"/>
            </w14:solidFill>
          </w14:textFill>
        </w:rPr>
        <w:t>（二）坚持人民至上，全力支持防汛救灾和灾后重建</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“7.20洪涝灾害”给我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区</w:t>
      </w:r>
      <w:r>
        <w:rPr>
          <w:rFonts w:hint="eastAsia" w:ascii="仿宋_GB2312" w:hAnsi="仿宋_GB2312" w:eastAsia="仿宋_GB2312" w:cs="仿宋_GB2312"/>
          <w:color w:val="000000" w:themeColor="text1"/>
          <w:sz w:val="32"/>
          <w:szCs w:val="32"/>
          <w14:textFill>
            <w14:solidFill>
              <w14:schemeClr w14:val="tx1"/>
            </w14:solidFill>
          </w14:textFill>
        </w:rPr>
        <w:t>人民群众和经济社会发展造成了严重损失，</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区财政局</w:t>
      </w:r>
      <w:r>
        <w:rPr>
          <w:rFonts w:hint="eastAsia" w:ascii="仿宋_GB2312" w:hAnsi="仿宋_GB2312" w:eastAsia="仿宋_GB2312" w:cs="仿宋_GB2312"/>
          <w:color w:val="000000" w:themeColor="text1"/>
          <w:sz w:val="32"/>
          <w:szCs w:val="32"/>
          <w14:textFill>
            <w14:solidFill>
              <w14:schemeClr w14:val="tx1"/>
            </w14:solidFill>
          </w14:textFill>
        </w:rPr>
        <w:t>牢固树立“人民至上、生命至上”理念，</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建立救灾资金拨付“绿色通道”，将救灾及重建资金共2152万元落实到户、落实到人、落实到具体项目。</w:t>
      </w:r>
    </w:p>
    <w:p>
      <w:pPr>
        <w:keepNext w:val="0"/>
        <w:keepLines w:val="0"/>
        <w:pageBreakBefore w:val="0"/>
        <w:widowControl w:val="0"/>
        <w:kinsoku/>
        <w:wordWrap/>
        <w:overflowPunct/>
        <w:topLinePunct w:val="0"/>
        <w:autoSpaceDE/>
        <w:autoSpaceDN/>
        <w:bidi w:val="0"/>
        <w:adjustRightInd w:val="0"/>
        <w:snapToGrid w:val="0"/>
        <w:spacing w:line="600" w:lineRule="exact"/>
        <w:ind w:firstLine="603" w:firstLineChars="200"/>
        <w:rPr>
          <w:rFonts w:hint="eastAsia" w:ascii="楷体_GB2312" w:hAnsi="楷体_GB2312" w:eastAsia="楷体_GB2312" w:cs="楷体_GB2312"/>
          <w:b/>
          <w:bCs/>
          <w:color w:val="000000" w:themeColor="text1"/>
          <w:spacing w:val="-10"/>
          <w:sz w:val="32"/>
          <w:szCs w:val="32"/>
          <w:lang w:val="en-US" w:eastAsia="zh-CN"/>
          <w14:textFill>
            <w14:solidFill>
              <w14:schemeClr w14:val="tx1"/>
            </w14:solidFill>
          </w14:textFill>
        </w:rPr>
      </w:pPr>
      <w:r>
        <w:rPr>
          <w:rFonts w:hint="eastAsia" w:ascii="楷体_GB2312" w:hAnsi="楷体_GB2312" w:eastAsia="楷体_GB2312" w:cs="楷体_GB2312"/>
          <w:b/>
          <w:bCs/>
          <w:color w:val="000000" w:themeColor="text1"/>
          <w:spacing w:val="-10"/>
          <w:sz w:val="32"/>
          <w:szCs w:val="32"/>
          <w:lang w:val="en-US" w:eastAsia="zh-CN"/>
          <w14:textFill>
            <w14:solidFill>
              <w14:schemeClr w14:val="tx1"/>
            </w14:solidFill>
          </w14:textFill>
        </w:rPr>
        <w:t>（三）乡村振兴促发展，脱贫攻坚成果更加稳固</w:t>
      </w:r>
    </w:p>
    <w:p>
      <w:pPr>
        <w:keepNext w:val="0"/>
        <w:keepLines w:val="0"/>
        <w:pageBreakBefore w:val="0"/>
        <w:widowControl w:val="0"/>
        <w:kinsoku/>
        <w:wordWrap/>
        <w:overflowPunct/>
        <w:topLinePunct w:val="0"/>
        <w:autoSpaceDE/>
        <w:autoSpaceDN/>
        <w:bidi w:val="0"/>
        <w:adjustRightInd w:val="0"/>
        <w:snapToGrid w:val="0"/>
        <w:spacing w:line="600" w:lineRule="exact"/>
        <w:ind w:firstLine="600" w:firstLineChars="200"/>
        <w:rPr>
          <w:rFonts w:hint="eastAsia" w:ascii="仿宋_GB2312" w:hAnsi="仿宋_GB2312" w:eastAsia="仿宋_GB2312" w:cs="仿宋_GB2312"/>
          <w:b w:val="0"/>
          <w:bCs w:val="0"/>
          <w:color w:val="000000" w:themeColor="text1"/>
          <w:spacing w:val="-10"/>
          <w:sz w:val="32"/>
          <w:szCs w:val="32"/>
          <w:lang w:val="en-US" w:eastAsia="zh-CN"/>
          <w14:textFill>
            <w14:solidFill>
              <w14:schemeClr w14:val="tx1"/>
            </w14:solidFill>
          </w14:textFill>
        </w:rPr>
      </w:pPr>
      <w:r>
        <w:rPr>
          <w:rFonts w:hint="default" w:ascii="仿宋_GB2312" w:hAnsi="仿宋_GB2312" w:eastAsia="仿宋_GB2312" w:cs="仿宋_GB2312"/>
          <w:b w:val="0"/>
          <w:bCs w:val="0"/>
          <w:color w:val="000000" w:themeColor="text1"/>
          <w:spacing w:val="-10"/>
          <w:sz w:val="32"/>
          <w:szCs w:val="32"/>
          <w:lang w:val="en-US" w:eastAsia="zh-CN"/>
          <w14:textFill>
            <w14:solidFill>
              <w14:schemeClr w14:val="tx1"/>
            </w14:solidFill>
          </w14:textFill>
        </w:rPr>
        <w:t>202</w:t>
      </w:r>
      <w:r>
        <w:rPr>
          <w:rFonts w:hint="eastAsia" w:ascii="仿宋_GB2312" w:hAnsi="仿宋_GB2312" w:eastAsia="仿宋_GB2312" w:cs="仿宋_GB2312"/>
          <w:b w:val="0"/>
          <w:bCs w:val="0"/>
          <w:color w:val="000000" w:themeColor="text1"/>
          <w:spacing w:val="-10"/>
          <w:sz w:val="32"/>
          <w:szCs w:val="32"/>
          <w:lang w:val="en-US" w:eastAsia="zh-CN"/>
          <w14:textFill>
            <w14:solidFill>
              <w14:schemeClr w14:val="tx1"/>
            </w14:solidFill>
          </w14:textFill>
        </w:rPr>
        <w:t>2</w:t>
      </w:r>
      <w:r>
        <w:rPr>
          <w:rFonts w:hint="default" w:ascii="仿宋_GB2312" w:hAnsi="仿宋_GB2312" w:eastAsia="仿宋_GB2312" w:cs="仿宋_GB2312"/>
          <w:b w:val="0"/>
          <w:bCs w:val="0"/>
          <w:color w:val="000000" w:themeColor="text1"/>
          <w:spacing w:val="-10"/>
          <w:sz w:val="32"/>
          <w:szCs w:val="32"/>
          <w:lang w:val="en-US" w:eastAsia="zh-CN"/>
          <w14:textFill>
            <w14:solidFill>
              <w14:schemeClr w14:val="tx1"/>
            </w14:solidFill>
          </w14:textFill>
        </w:rPr>
        <w:t>年</w:t>
      </w:r>
      <w:r>
        <w:rPr>
          <w:rFonts w:hint="eastAsia" w:ascii="仿宋_GB2312" w:hAnsi="仿宋_GB2312" w:eastAsia="仿宋_GB2312" w:cs="仿宋_GB2312"/>
          <w:b w:val="0"/>
          <w:bCs w:val="0"/>
          <w:color w:val="000000" w:themeColor="text1"/>
          <w:spacing w:val="-10"/>
          <w:sz w:val="32"/>
          <w:szCs w:val="32"/>
          <w:lang w:val="en-US" w:eastAsia="zh-CN"/>
          <w14:textFill>
            <w14:solidFill>
              <w14:schemeClr w14:val="tx1"/>
            </w14:solidFill>
          </w14:textFill>
        </w:rPr>
        <w:t>区级安排脱贫攻坚与乡村振兴有效</w:t>
      </w:r>
      <w:r>
        <w:rPr>
          <w:rFonts w:hint="default" w:ascii="仿宋_GB2312" w:hAnsi="仿宋_GB2312" w:eastAsia="仿宋_GB2312" w:cs="仿宋_GB2312"/>
          <w:b w:val="0"/>
          <w:bCs w:val="0"/>
          <w:color w:val="000000" w:themeColor="text1"/>
          <w:spacing w:val="-10"/>
          <w:sz w:val="32"/>
          <w:szCs w:val="32"/>
          <w:lang w:val="en-US" w:eastAsia="zh-CN"/>
          <w14:textFill>
            <w14:solidFill>
              <w14:schemeClr w14:val="tx1"/>
            </w14:solidFill>
          </w14:textFill>
        </w:rPr>
        <w:t>衔接资金</w:t>
      </w:r>
      <w:r>
        <w:rPr>
          <w:rFonts w:hint="eastAsia" w:ascii="仿宋_GB2312" w:hAnsi="仿宋_GB2312" w:eastAsia="仿宋_GB2312" w:cs="仿宋_GB2312"/>
          <w:b w:val="0"/>
          <w:bCs w:val="0"/>
          <w:color w:val="000000" w:themeColor="text1"/>
          <w:spacing w:val="-10"/>
          <w:sz w:val="32"/>
          <w:szCs w:val="32"/>
          <w:lang w:val="en-US" w:eastAsia="zh-CN"/>
          <w14:textFill>
            <w14:solidFill>
              <w14:schemeClr w14:val="tx1"/>
            </w14:solidFill>
          </w14:textFill>
        </w:rPr>
        <w:t>231</w:t>
      </w:r>
      <w:r>
        <w:rPr>
          <w:rFonts w:hint="default" w:ascii="仿宋_GB2312" w:hAnsi="仿宋_GB2312" w:eastAsia="仿宋_GB2312" w:cs="仿宋_GB2312"/>
          <w:b w:val="0"/>
          <w:bCs w:val="0"/>
          <w:color w:val="000000" w:themeColor="text1"/>
          <w:spacing w:val="-10"/>
          <w:sz w:val="32"/>
          <w:szCs w:val="32"/>
          <w:lang w:val="en-US" w:eastAsia="zh-CN"/>
          <w14:textFill>
            <w14:solidFill>
              <w14:schemeClr w14:val="tx1"/>
            </w14:solidFill>
          </w14:textFill>
        </w:rPr>
        <w:t>万元</w:t>
      </w:r>
      <w:r>
        <w:rPr>
          <w:rFonts w:hint="eastAsia" w:ascii="仿宋_GB2312" w:hAnsi="仿宋_GB2312" w:eastAsia="仿宋_GB2312" w:cs="仿宋_GB2312"/>
          <w:b w:val="0"/>
          <w:bCs w:val="0"/>
          <w:color w:val="000000" w:themeColor="text1"/>
          <w:spacing w:val="-10"/>
          <w:sz w:val="32"/>
          <w:szCs w:val="32"/>
          <w:lang w:val="en-US" w:eastAsia="zh-CN"/>
          <w14:textFill>
            <w14:solidFill>
              <w14:schemeClr w14:val="tx1"/>
            </w14:solidFill>
          </w14:textFill>
        </w:rPr>
        <w:t>，争取</w:t>
      </w:r>
      <w:r>
        <w:rPr>
          <w:rFonts w:hint="default" w:ascii="仿宋_GB2312" w:hAnsi="仿宋_GB2312" w:eastAsia="仿宋_GB2312" w:cs="仿宋_GB2312"/>
          <w:b w:val="0"/>
          <w:bCs w:val="0"/>
          <w:color w:val="000000" w:themeColor="text1"/>
          <w:spacing w:val="-10"/>
          <w:sz w:val="32"/>
          <w:szCs w:val="32"/>
          <w:lang w:val="en-US" w:eastAsia="zh-CN"/>
          <w14:textFill>
            <w14:solidFill>
              <w14:schemeClr w14:val="tx1"/>
            </w14:solidFill>
          </w14:textFill>
        </w:rPr>
        <w:t>耕地地力保护补贴</w:t>
      </w:r>
      <w:r>
        <w:rPr>
          <w:rFonts w:hint="eastAsia" w:ascii="仿宋_GB2312" w:hAnsi="仿宋_GB2312" w:eastAsia="仿宋_GB2312" w:cs="仿宋_GB2312"/>
          <w:b w:val="0"/>
          <w:bCs w:val="0"/>
          <w:color w:val="000000" w:themeColor="text1"/>
          <w:spacing w:val="-10"/>
          <w:sz w:val="32"/>
          <w:szCs w:val="32"/>
          <w:lang w:val="en-US" w:eastAsia="zh-CN"/>
          <w14:textFill>
            <w14:solidFill>
              <w14:schemeClr w14:val="tx1"/>
            </w14:solidFill>
          </w14:textFill>
        </w:rPr>
        <w:t>上级</w:t>
      </w:r>
      <w:r>
        <w:rPr>
          <w:rFonts w:hint="default" w:ascii="仿宋_GB2312" w:hAnsi="仿宋_GB2312" w:eastAsia="仿宋_GB2312" w:cs="仿宋_GB2312"/>
          <w:b w:val="0"/>
          <w:bCs w:val="0"/>
          <w:color w:val="000000" w:themeColor="text1"/>
          <w:spacing w:val="-10"/>
          <w:sz w:val="32"/>
          <w:szCs w:val="32"/>
          <w:lang w:val="en-US" w:eastAsia="zh-CN"/>
          <w14:textFill>
            <w14:solidFill>
              <w14:schemeClr w14:val="tx1"/>
            </w14:solidFill>
          </w14:textFill>
        </w:rPr>
        <w:t>资金</w:t>
      </w:r>
      <w:r>
        <w:rPr>
          <w:rFonts w:hint="eastAsia" w:ascii="仿宋_GB2312" w:hAnsi="仿宋_GB2312" w:eastAsia="仿宋_GB2312" w:cs="仿宋_GB2312"/>
          <w:b w:val="0"/>
          <w:bCs w:val="0"/>
          <w:color w:val="000000" w:themeColor="text1"/>
          <w:spacing w:val="-10"/>
          <w:sz w:val="32"/>
          <w:szCs w:val="32"/>
          <w:lang w:val="en-US" w:eastAsia="zh-CN"/>
          <w14:textFill>
            <w14:solidFill>
              <w14:schemeClr w14:val="tx1"/>
            </w14:solidFill>
          </w14:textFill>
        </w:rPr>
        <w:t>377.9</w:t>
      </w:r>
      <w:r>
        <w:rPr>
          <w:rFonts w:hint="default" w:ascii="仿宋_GB2312" w:hAnsi="仿宋_GB2312" w:eastAsia="仿宋_GB2312" w:cs="仿宋_GB2312"/>
          <w:b w:val="0"/>
          <w:bCs w:val="0"/>
          <w:color w:val="000000" w:themeColor="text1"/>
          <w:spacing w:val="-10"/>
          <w:sz w:val="32"/>
          <w:szCs w:val="32"/>
          <w:lang w:val="en-US" w:eastAsia="zh-CN"/>
          <w14:textFill>
            <w14:solidFill>
              <w14:schemeClr w14:val="tx1"/>
            </w14:solidFill>
          </w14:textFill>
        </w:rPr>
        <w:t>万元</w:t>
      </w:r>
      <w:r>
        <w:rPr>
          <w:rFonts w:hint="eastAsia" w:ascii="仿宋_GB2312" w:hAnsi="仿宋_GB2312" w:eastAsia="仿宋_GB2312" w:cs="仿宋_GB2312"/>
          <w:b w:val="0"/>
          <w:bCs w:val="0"/>
          <w:color w:val="000000" w:themeColor="text1"/>
          <w:spacing w:val="-10"/>
          <w:sz w:val="32"/>
          <w:szCs w:val="32"/>
          <w:lang w:val="en-US" w:eastAsia="zh-CN"/>
          <w14:textFill>
            <w14:solidFill>
              <w14:schemeClr w14:val="tx1"/>
            </w14:solidFill>
          </w14:textFill>
        </w:rPr>
        <w:t>，争取</w:t>
      </w:r>
      <w:r>
        <w:rPr>
          <w:rFonts w:hint="default" w:ascii="仿宋_GB2312" w:hAnsi="仿宋_GB2312" w:eastAsia="仿宋_GB2312" w:cs="仿宋_GB2312"/>
          <w:b w:val="0"/>
          <w:bCs w:val="0"/>
          <w:color w:val="000000" w:themeColor="text1"/>
          <w:spacing w:val="-10"/>
          <w:sz w:val="32"/>
          <w:szCs w:val="32"/>
          <w:lang w:val="en-US" w:eastAsia="zh-CN"/>
          <w14:textFill>
            <w14:solidFill>
              <w14:schemeClr w14:val="tx1"/>
            </w14:solidFill>
          </w14:textFill>
        </w:rPr>
        <w:t>种粮农民一次性补贴</w:t>
      </w:r>
      <w:r>
        <w:rPr>
          <w:rFonts w:hint="eastAsia" w:ascii="仿宋_GB2312" w:hAnsi="仿宋_GB2312" w:eastAsia="仿宋_GB2312" w:cs="仿宋_GB2312"/>
          <w:b w:val="0"/>
          <w:bCs w:val="0"/>
          <w:color w:val="000000" w:themeColor="text1"/>
          <w:spacing w:val="-10"/>
          <w:sz w:val="32"/>
          <w:szCs w:val="32"/>
          <w:lang w:val="en-US" w:eastAsia="zh-CN"/>
          <w14:textFill>
            <w14:solidFill>
              <w14:schemeClr w14:val="tx1"/>
            </w14:solidFill>
          </w14:textFill>
        </w:rPr>
        <w:t>上级</w:t>
      </w:r>
      <w:r>
        <w:rPr>
          <w:rFonts w:hint="default" w:ascii="仿宋_GB2312" w:hAnsi="仿宋_GB2312" w:eastAsia="仿宋_GB2312" w:cs="仿宋_GB2312"/>
          <w:b w:val="0"/>
          <w:bCs w:val="0"/>
          <w:color w:val="000000" w:themeColor="text1"/>
          <w:spacing w:val="-10"/>
          <w:sz w:val="32"/>
          <w:szCs w:val="32"/>
          <w:lang w:val="en-US" w:eastAsia="zh-CN"/>
          <w14:textFill>
            <w14:solidFill>
              <w14:schemeClr w14:val="tx1"/>
            </w14:solidFill>
          </w14:textFill>
        </w:rPr>
        <w:t>资金</w:t>
      </w:r>
      <w:r>
        <w:rPr>
          <w:rFonts w:hint="eastAsia" w:ascii="仿宋_GB2312" w:hAnsi="仿宋_GB2312" w:eastAsia="仿宋_GB2312" w:cs="仿宋_GB2312"/>
          <w:b w:val="0"/>
          <w:bCs w:val="0"/>
          <w:color w:val="000000" w:themeColor="text1"/>
          <w:spacing w:val="-10"/>
          <w:sz w:val="32"/>
          <w:szCs w:val="32"/>
          <w:lang w:val="en-US" w:eastAsia="zh-CN"/>
          <w14:textFill>
            <w14:solidFill>
              <w14:schemeClr w14:val="tx1"/>
            </w14:solidFill>
          </w14:textFill>
        </w:rPr>
        <w:t>108.65</w:t>
      </w:r>
      <w:r>
        <w:rPr>
          <w:rFonts w:hint="default" w:ascii="仿宋_GB2312" w:hAnsi="仿宋_GB2312" w:eastAsia="仿宋_GB2312" w:cs="仿宋_GB2312"/>
          <w:b w:val="0"/>
          <w:bCs w:val="0"/>
          <w:color w:val="000000" w:themeColor="text1"/>
          <w:spacing w:val="-10"/>
          <w:sz w:val="32"/>
          <w:szCs w:val="32"/>
          <w:lang w:val="en-US" w:eastAsia="zh-CN"/>
          <w14:textFill>
            <w14:solidFill>
              <w14:schemeClr w14:val="tx1"/>
            </w14:solidFill>
          </w14:textFill>
        </w:rPr>
        <w:t>万元。</w:t>
      </w:r>
      <w:r>
        <w:rPr>
          <w:rFonts w:hint="eastAsia" w:ascii="仿宋_GB2312" w:hAnsi="仿宋_GB2312" w:eastAsia="仿宋_GB2312" w:cs="仿宋_GB2312"/>
          <w:b w:val="0"/>
          <w:bCs w:val="0"/>
          <w:color w:val="000000" w:themeColor="text1"/>
          <w:spacing w:val="-10"/>
          <w:sz w:val="32"/>
          <w:szCs w:val="32"/>
          <w:lang w:val="en-US" w:eastAsia="zh-CN"/>
          <w14:textFill>
            <w14:solidFill>
              <w14:schemeClr w14:val="tx1"/>
            </w14:solidFill>
          </w14:textFill>
        </w:rPr>
        <w:t>落实</w:t>
      </w:r>
      <w:r>
        <w:rPr>
          <w:rFonts w:hint="default" w:ascii="仿宋_GB2312" w:hAnsi="仿宋_GB2312" w:eastAsia="仿宋_GB2312" w:cs="仿宋_GB2312"/>
          <w:b w:val="0"/>
          <w:bCs w:val="0"/>
          <w:color w:val="000000" w:themeColor="text1"/>
          <w:spacing w:val="-10"/>
          <w:sz w:val="32"/>
          <w:szCs w:val="32"/>
          <w:lang w:val="en-US" w:eastAsia="zh-CN"/>
          <w14:textFill>
            <w14:solidFill>
              <w14:schemeClr w14:val="tx1"/>
            </w14:solidFill>
          </w14:textFill>
        </w:rPr>
        <w:t>农村公益事业项目。202</w:t>
      </w:r>
      <w:r>
        <w:rPr>
          <w:rFonts w:hint="eastAsia" w:ascii="仿宋_GB2312" w:hAnsi="仿宋_GB2312" w:eastAsia="仿宋_GB2312" w:cs="仿宋_GB2312"/>
          <w:b w:val="0"/>
          <w:bCs w:val="0"/>
          <w:color w:val="000000" w:themeColor="text1"/>
          <w:spacing w:val="-10"/>
          <w:sz w:val="32"/>
          <w:szCs w:val="32"/>
          <w:lang w:val="en-US" w:eastAsia="zh-CN"/>
          <w14:textFill>
            <w14:solidFill>
              <w14:schemeClr w14:val="tx1"/>
            </w14:solidFill>
          </w14:textFill>
        </w:rPr>
        <w:t>2</w:t>
      </w:r>
      <w:r>
        <w:rPr>
          <w:rFonts w:hint="default" w:ascii="仿宋_GB2312" w:hAnsi="仿宋_GB2312" w:eastAsia="仿宋_GB2312" w:cs="仿宋_GB2312"/>
          <w:b w:val="0"/>
          <w:bCs w:val="0"/>
          <w:color w:val="000000" w:themeColor="text1"/>
          <w:spacing w:val="-10"/>
          <w:sz w:val="32"/>
          <w:szCs w:val="32"/>
          <w:lang w:val="en-US" w:eastAsia="zh-CN"/>
          <w14:textFill>
            <w14:solidFill>
              <w14:schemeClr w14:val="tx1"/>
            </w14:solidFill>
          </w14:textFill>
        </w:rPr>
        <w:t>年我区农村公益事业项目通过“四议两公开”的程序确定202</w:t>
      </w:r>
      <w:r>
        <w:rPr>
          <w:rFonts w:hint="eastAsia" w:ascii="仿宋_GB2312" w:hAnsi="仿宋_GB2312" w:eastAsia="仿宋_GB2312" w:cs="仿宋_GB2312"/>
          <w:b w:val="0"/>
          <w:bCs w:val="0"/>
          <w:color w:val="000000" w:themeColor="text1"/>
          <w:spacing w:val="-10"/>
          <w:sz w:val="32"/>
          <w:szCs w:val="32"/>
          <w:lang w:val="en-US" w:eastAsia="zh-CN"/>
          <w14:textFill>
            <w14:solidFill>
              <w14:schemeClr w14:val="tx1"/>
            </w14:solidFill>
          </w14:textFill>
        </w:rPr>
        <w:t>2</w:t>
      </w:r>
      <w:r>
        <w:rPr>
          <w:rFonts w:hint="default" w:ascii="仿宋_GB2312" w:hAnsi="仿宋_GB2312" w:eastAsia="仿宋_GB2312" w:cs="仿宋_GB2312"/>
          <w:b w:val="0"/>
          <w:bCs w:val="0"/>
          <w:color w:val="000000" w:themeColor="text1"/>
          <w:spacing w:val="-10"/>
          <w:sz w:val="32"/>
          <w:szCs w:val="32"/>
          <w:lang w:val="en-US" w:eastAsia="zh-CN"/>
          <w14:textFill>
            <w14:solidFill>
              <w14:schemeClr w14:val="tx1"/>
            </w14:solidFill>
          </w14:textFill>
        </w:rPr>
        <w:t>年农村公益事业项目涉及2个镇</w:t>
      </w:r>
      <w:r>
        <w:rPr>
          <w:rFonts w:hint="eastAsia" w:ascii="仿宋_GB2312" w:hAnsi="仿宋_GB2312" w:eastAsia="仿宋_GB2312" w:cs="仿宋_GB2312"/>
          <w:b w:val="0"/>
          <w:bCs w:val="0"/>
          <w:color w:val="000000" w:themeColor="text1"/>
          <w:spacing w:val="-10"/>
          <w:sz w:val="32"/>
          <w:szCs w:val="32"/>
          <w:lang w:val="en-US" w:eastAsia="zh-CN"/>
          <w14:textFill>
            <w14:solidFill>
              <w14:schemeClr w14:val="tx1"/>
            </w14:solidFill>
          </w14:textFill>
        </w:rPr>
        <w:t>3</w:t>
      </w:r>
      <w:r>
        <w:rPr>
          <w:rFonts w:hint="default" w:ascii="仿宋_GB2312" w:hAnsi="仿宋_GB2312" w:eastAsia="仿宋_GB2312" w:cs="仿宋_GB2312"/>
          <w:b w:val="0"/>
          <w:bCs w:val="0"/>
          <w:color w:val="000000" w:themeColor="text1"/>
          <w:spacing w:val="-10"/>
          <w:sz w:val="32"/>
          <w:szCs w:val="32"/>
          <w:lang w:val="en-US" w:eastAsia="zh-CN"/>
          <w14:textFill>
            <w14:solidFill>
              <w14:schemeClr w14:val="tx1"/>
            </w14:solidFill>
          </w14:textFill>
        </w:rPr>
        <w:t>个行政村共</w:t>
      </w:r>
      <w:r>
        <w:rPr>
          <w:rFonts w:hint="eastAsia" w:ascii="仿宋_GB2312" w:hAnsi="仿宋_GB2312" w:eastAsia="仿宋_GB2312" w:cs="仿宋_GB2312"/>
          <w:b w:val="0"/>
          <w:bCs w:val="0"/>
          <w:color w:val="000000" w:themeColor="text1"/>
          <w:spacing w:val="-10"/>
          <w:sz w:val="32"/>
          <w:szCs w:val="32"/>
          <w:lang w:val="en-US" w:eastAsia="zh-CN"/>
          <w14:textFill>
            <w14:solidFill>
              <w14:schemeClr w14:val="tx1"/>
            </w14:solidFill>
          </w14:textFill>
        </w:rPr>
        <w:t>3</w:t>
      </w:r>
      <w:r>
        <w:rPr>
          <w:rFonts w:hint="default" w:ascii="仿宋_GB2312" w:hAnsi="仿宋_GB2312" w:eastAsia="仿宋_GB2312" w:cs="仿宋_GB2312"/>
          <w:b w:val="0"/>
          <w:bCs w:val="0"/>
          <w:color w:val="000000" w:themeColor="text1"/>
          <w:spacing w:val="-10"/>
          <w:sz w:val="32"/>
          <w:szCs w:val="32"/>
          <w:lang w:val="en-US" w:eastAsia="zh-CN"/>
          <w14:textFill>
            <w14:solidFill>
              <w14:schemeClr w14:val="tx1"/>
            </w14:solidFill>
          </w14:textFill>
        </w:rPr>
        <w:t>个项目，均为村内道路修建项目。</w:t>
      </w:r>
    </w:p>
    <w:p>
      <w:pPr>
        <w:keepNext w:val="0"/>
        <w:keepLines w:val="0"/>
        <w:pageBreakBefore w:val="0"/>
        <w:widowControl w:val="0"/>
        <w:kinsoku/>
        <w:wordWrap/>
        <w:overflowPunct/>
        <w:topLinePunct w:val="0"/>
        <w:autoSpaceDE/>
        <w:autoSpaceDN/>
        <w:bidi w:val="0"/>
        <w:adjustRightInd w:val="0"/>
        <w:snapToGrid w:val="0"/>
        <w:spacing w:line="600" w:lineRule="exact"/>
        <w:ind w:firstLine="603" w:firstLineChars="200"/>
        <w:rPr>
          <w:rFonts w:hint="eastAsia" w:ascii="楷体_GB2312" w:hAnsi="楷体_GB2312" w:eastAsia="楷体_GB2312" w:cs="楷体_GB2312"/>
          <w:b/>
          <w:bCs/>
          <w:color w:val="auto"/>
          <w:spacing w:val="-10"/>
          <w:sz w:val="32"/>
          <w:szCs w:val="32"/>
          <w:lang w:val="en-US" w:eastAsia="zh-CN"/>
        </w:rPr>
      </w:pPr>
      <w:r>
        <w:rPr>
          <w:rFonts w:hint="eastAsia" w:ascii="楷体_GB2312" w:hAnsi="楷体_GB2312" w:eastAsia="楷体_GB2312" w:cs="楷体_GB2312"/>
          <w:b/>
          <w:bCs/>
          <w:color w:val="auto"/>
          <w:spacing w:val="-10"/>
          <w:sz w:val="32"/>
          <w:szCs w:val="32"/>
          <w:lang w:val="en-US" w:eastAsia="zh-CN"/>
        </w:rPr>
        <w:t>（四）突出重点保民生，财政支出结构持续优化</w:t>
      </w:r>
    </w:p>
    <w:p>
      <w:pPr>
        <w:keepNext w:val="0"/>
        <w:keepLines w:val="0"/>
        <w:pageBreakBefore w:val="0"/>
        <w:widowControl w:val="0"/>
        <w:kinsoku/>
        <w:wordWrap/>
        <w:overflowPunct/>
        <w:topLinePunct w:val="0"/>
        <w:autoSpaceDE/>
        <w:autoSpaceDN/>
        <w:bidi w:val="0"/>
        <w:adjustRightInd w:val="0"/>
        <w:snapToGrid w:val="0"/>
        <w:spacing w:line="600" w:lineRule="exact"/>
        <w:ind w:firstLine="600" w:firstLineChars="200"/>
        <w:rPr>
          <w:rFonts w:hint="default" w:ascii="仿宋_GB2312" w:hAnsi="仿宋_GB2312" w:eastAsia="仿宋_GB2312" w:cs="仿宋_GB2312"/>
          <w:b w:val="0"/>
          <w:bCs w:val="0"/>
          <w:color w:val="auto"/>
          <w:spacing w:val="-10"/>
          <w:sz w:val="32"/>
          <w:szCs w:val="32"/>
          <w:lang w:val="en-US" w:eastAsia="zh-CN"/>
        </w:rPr>
      </w:pPr>
      <w:r>
        <w:rPr>
          <w:rFonts w:hint="eastAsia" w:ascii="仿宋_GB2312" w:hAnsi="仿宋_GB2312" w:eastAsia="仿宋_GB2312" w:cs="仿宋_GB2312"/>
          <w:b w:val="0"/>
          <w:bCs w:val="0"/>
          <w:color w:val="auto"/>
          <w:spacing w:val="-10"/>
          <w:sz w:val="32"/>
          <w:szCs w:val="32"/>
          <w:lang w:val="en-US" w:eastAsia="zh-CN"/>
        </w:rPr>
        <w:t>加大财政资金整合力度，</w:t>
      </w:r>
      <w:r>
        <w:rPr>
          <w:rFonts w:hint="default" w:ascii="仿宋_GB2312" w:hAnsi="仿宋_GB2312" w:eastAsia="仿宋_GB2312" w:cs="仿宋_GB2312"/>
          <w:b w:val="0"/>
          <w:bCs w:val="0"/>
          <w:color w:val="auto"/>
          <w:spacing w:val="-10"/>
          <w:sz w:val="32"/>
          <w:szCs w:val="32"/>
          <w:lang w:val="en-US" w:eastAsia="zh-CN"/>
        </w:rPr>
        <w:t>坚持尽力而为、量力而行，</w:t>
      </w:r>
      <w:r>
        <w:rPr>
          <w:rFonts w:hint="eastAsia" w:ascii="仿宋_GB2312" w:hAnsi="仿宋_GB2312" w:eastAsia="仿宋_GB2312" w:cs="仿宋_GB2312"/>
          <w:b w:val="0"/>
          <w:bCs w:val="0"/>
          <w:color w:val="auto"/>
          <w:spacing w:val="-10"/>
          <w:sz w:val="32"/>
          <w:szCs w:val="32"/>
          <w:lang w:val="en-US" w:eastAsia="zh-CN"/>
        </w:rPr>
        <w:t>坚决落实党政机关过紧日子要求，</w:t>
      </w:r>
      <w:r>
        <w:rPr>
          <w:rFonts w:hint="default" w:ascii="仿宋_GB2312" w:hAnsi="仿宋_GB2312" w:eastAsia="仿宋_GB2312" w:cs="仿宋_GB2312"/>
          <w:b w:val="0"/>
          <w:bCs w:val="0"/>
          <w:color w:val="auto"/>
          <w:spacing w:val="-10"/>
          <w:sz w:val="32"/>
          <w:szCs w:val="32"/>
          <w:lang w:val="en-US" w:eastAsia="zh-CN"/>
        </w:rPr>
        <w:t>持续办好重点民生实事，</w:t>
      </w:r>
      <w:r>
        <w:rPr>
          <w:rFonts w:hint="eastAsia" w:ascii="仿宋_GB2312" w:hAnsi="仿宋_GB2312" w:eastAsia="仿宋_GB2312" w:cs="仿宋_GB2312"/>
          <w:b w:val="0"/>
          <w:bCs w:val="0"/>
          <w:color w:val="auto"/>
          <w:spacing w:val="-10"/>
          <w:sz w:val="32"/>
          <w:szCs w:val="32"/>
          <w:lang w:val="en-US" w:eastAsia="zh-CN"/>
        </w:rPr>
        <w:t>统筹一切资金资源增强全区民生保障。2022年</w:t>
      </w:r>
      <w:r>
        <w:rPr>
          <w:rFonts w:hint="default" w:ascii="仿宋_GB2312" w:hAnsi="仿宋_GB2312" w:eastAsia="仿宋_GB2312" w:cs="仿宋_GB2312"/>
          <w:b w:val="0"/>
          <w:bCs w:val="0"/>
          <w:color w:val="auto"/>
          <w:spacing w:val="-10"/>
          <w:sz w:val="32"/>
          <w:szCs w:val="32"/>
          <w:lang w:val="en-US" w:eastAsia="zh-CN"/>
        </w:rPr>
        <w:t>全</w:t>
      </w:r>
      <w:r>
        <w:rPr>
          <w:rFonts w:hint="eastAsia" w:ascii="仿宋_GB2312" w:hAnsi="仿宋_GB2312" w:eastAsia="仿宋_GB2312" w:cs="仿宋_GB2312"/>
          <w:b w:val="0"/>
          <w:bCs w:val="0"/>
          <w:color w:val="auto"/>
          <w:spacing w:val="-10"/>
          <w:sz w:val="32"/>
          <w:szCs w:val="32"/>
          <w:lang w:val="en-US" w:eastAsia="zh-CN"/>
        </w:rPr>
        <w:t>区</w:t>
      </w:r>
      <w:r>
        <w:rPr>
          <w:rFonts w:hint="default" w:ascii="仿宋_GB2312" w:hAnsi="仿宋_GB2312" w:eastAsia="仿宋_GB2312" w:cs="仿宋_GB2312"/>
          <w:b w:val="0"/>
          <w:bCs w:val="0"/>
          <w:color w:val="auto"/>
          <w:spacing w:val="-10"/>
          <w:sz w:val="32"/>
          <w:szCs w:val="32"/>
          <w:lang w:val="en-US" w:eastAsia="zh-CN"/>
        </w:rPr>
        <w:t>民生支出</w:t>
      </w:r>
      <w:r>
        <w:rPr>
          <w:rFonts w:hint="eastAsia" w:ascii="仿宋_GB2312" w:hAnsi="仿宋_GB2312" w:eastAsia="仿宋_GB2312" w:cs="仿宋_GB2312"/>
          <w:b w:val="0"/>
          <w:bCs w:val="0"/>
          <w:color w:val="auto"/>
          <w:spacing w:val="-10"/>
          <w:sz w:val="32"/>
          <w:szCs w:val="32"/>
          <w:lang w:val="en-US" w:eastAsia="zh-CN"/>
        </w:rPr>
        <w:t>5.5亿元，占一般公共预算支出的60%</w:t>
      </w:r>
      <w:r>
        <w:rPr>
          <w:rFonts w:hint="default" w:ascii="仿宋_GB2312" w:hAnsi="仿宋_GB2312" w:eastAsia="仿宋_GB2312" w:cs="仿宋_GB2312"/>
          <w:b w:val="0"/>
          <w:bCs w:val="0"/>
          <w:color w:val="auto"/>
          <w:spacing w:val="-10"/>
          <w:sz w:val="32"/>
          <w:szCs w:val="32"/>
          <w:lang w:val="en-US" w:eastAsia="zh-CN"/>
        </w:rPr>
        <w:t>，</w:t>
      </w:r>
      <w:r>
        <w:rPr>
          <w:rFonts w:hint="eastAsia" w:ascii="仿宋_GB2312" w:hAnsi="仿宋_GB2312" w:eastAsia="仿宋_GB2312" w:cs="仿宋_GB2312"/>
          <w:b w:val="0"/>
          <w:bCs w:val="0"/>
          <w:color w:val="auto"/>
          <w:spacing w:val="-10"/>
          <w:sz w:val="32"/>
          <w:szCs w:val="32"/>
          <w:lang w:val="en-US" w:eastAsia="zh-CN"/>
        </w:rPr>
        <w:t>各级</w:t>
      </w:r>
      <w:r>
        <w:rPr>
          <w:rFonts w:hint="default" w:ascii="仿宋_GB2312" w:hAnsi="仿宋_GB2312" w:eastAsia="仿宋_GB2312" w:cs="仿宋_GB2312"/>
          <w:b w:val="0"/>
          <w:bCs w:val="0"/>
          <w:color w:val="auto"/>
          <w:spacing w:val="-10"/>
          <w:sz w:val="32"/>
          <w:szCs w:val="32"/>
          <w:lang w:val="en-US" w:eastAsia="zh-CN"/>
        </w:rPr>
        <w:t>各项民生政策得到较好保障。</w:t>
      </w:r>
    </w:p>
    <w:p>
      <w:pPr>
        <w:keepNext w:val="0"/>
        <w:keepLines w:val="0"/>
        <w:pageBreakBefore w:val="0"/>
        <w:widowControl w:val="0"/>
        <w:kinsoku/>
        <w:wordWrap/>
        <w:overflowPunct/>
        <w:topLinePunct w:val="0"/>
        <w:autoSpaceDE/>
        <w:autoSpaceDN/>
        <w:bidi w:val="0"/>
        <w:adjustRightInd w:val="0"/>
        <w:snapToGrid w:val="0"/>
        <w:spacing w:line="600" w:lineRule="exact"/>
        <w:ind w:firstLine="603" w:firstLineChars="200"/>
        <w:rPr>
          <w:rFonts w:hint="eastAsia" w:ascii="仿宋_GB2312" w:hAnsi="仿宋_GB2312" w:eastAsia="仿宋_GB2312" w:cs="仿宋_GB2312"/>
          <w:b w:val="0"/>
          <w:bCs w:val="0"/>
          <w:color w:val="000000" w:themeColor="text1"/>
          <w:spacing w:val="-10"/>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pacing w:val="-10"/>
          <w:sz w:val="32"/>
          <w:szCs w:val="32"/>
          <w:lang w:val="en-US" w:eastAsia="zh-CN"/>
          <w14:textFill>
            <w14:solidFill>
              <w14:schemeClr w14:val="tx1"/>
            </w14:solidFill>
          </w14:textFill>
        </w:rPr>
        <w:t>——支持教育质量提升。</w:t>
      </w:r>
      <w:r>
        <w:rPr>
          <w:rFonts w:hint="eastAsia" w:ascii="仿宋_GB2312" w:hAnsi="仿宋_GB2312" w:eastAsia="仿宋_GB2312" w:cs="仿宋_GB2312"/>
          <w:b w:val="0"/>
          <w:bCs w:val="0"/>
          <w:color w:val="000000" w:themeColor="text1"/>
          <w:spacing w:val="-10"/>
          <w:sz w:val="32"/>
          <w:szCs w:val="32"/>
          <w:lang w:val="en-US" w:eastAsia="zh-CN"/>
          <w14:textFill>
            <w14:solidFill>
              <w14:schemeClr w14:val="tx1"/>
            </w14:solidFill>
          </w14:textFill>
        </w:rPr>
        <w:t>自2022年春季学期起，按生均小学650元、初中850元标准，足额拨付各类学校生均公用经费共2350万元，保障了学校教育教学工作的正常有序开展。扩大贫困家庭学生资助范围，共拨付资助类资金81.38万元，有效减轻了贫困家庭经济负担，提高了群众的幸福感。</w:t>
      </w:r>
    </w:p>
    <w:p>
      <w:pPr>
        <w:keepNext w:val="0"/>
        <w:keepLines w:val="0"/>
        <w:pageBreakBefore w:val="0"/>
        <w:widowControl w:val="0"/>
        <w:kinsoku/>
        <w:wordWrap/>
        <w:overflowPunct/>
        <w:topLinePunct w:val="0"/>
        <w:autoSpaceDE/>
        <w:autoSpaceDN/>
        <w:bidi w:val="0"/>
        <w:adjustRightInd w:val="0"/>
        <w:snapToGrid w:val="0"/>
        <w:spacing w:line="600" w:lineRule="exact"/>
        <w:ind w:firstLine="603" w:firstLineChars="200"/>
        <w:rPr>
          <w:rFonts w:hint="eastAsia" w:ascii="仿宋_GB2312" w:hAnsi="仿宋_GB2312" w:eastAsia="仿宋_GB2312" w:cs="仿宋_GB2312"/>
          <w:b w:val="0"/>
          <w:bCs w:val="0"/>
          <w:color w:val="000000" w:themeColor="text1"/>
          <w:spacing w:val="-10"/>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pacing w:val="-10"/>
          <w:sz w:val="32"/>
          <w:szCs w:val="32"/>
          <w:lang w:val="en-US" w:eastAsia="zh-CN"/>
          <w14:textFill>
            <w14:solidFill>
              <w14:schemeClr w14:val="tx1"/>
            </w14:solidFill>
          </w14:textFill>
        </w:rPr>
        <w:t>——支持高质量就业保障。</w:t>
      </w:r>
      <w:r>
        <w:rPr>
          <w:rFonts w:hint="eastAsia" w:ascii="仿宋_GB2312" w:hAnsi="仿宋_GB2312" w:eastAsia="仿宋_GB2312" w:cs="仿宋_GB2312"/>
          <w:b w:val="0"/>
          <w:bCs w:val="0"/>
          <w:color w:val="000000" w:themeColor="text1"/>
          <w:spacing w:val="-10"/>
          <w:sz w:val="32"/>
          <w:szCs w:val="32"/>
          <w:lang w:val="en-US" w:eastAsia="zh-CN"/>
          <w14:textFill>
            <w14:solidFill>
              <w14:schemeClr w14:val="tx1"/>
            </w14:solidFill>
          </w14:textFill>
        </w:rPr>
        <w:t>认真落实公益性岗位补贴、社会保险补贴、见习补贴、就业创业服务补贴、职业培训补贴、职业技能鉴定补贴。</w:t>
      </w:r>
      <w:r>
        <w:rPr>
          <w:rFonts w:hint="eastAsia" w:ascii="仿宋_GB2312" w:hAnsi="仿宋_GB2312" w:eastAsia="仿宋_GB2312" w:cs="仿宋_GB2312"/>
          <w:color w:val="000000" w:themeColor="text1"/>
          <w:spacing w:val="-10"/>
          <w:sz w:val="32"/>
          <w:szCs w:val="32"/>
          <w14:textFill>
            <w14:solidFill>
              <w14:schemeClr w14:val="tx1"/>
            </w14:solidFill>
          </w14:textFill>
        </w:rPr>
        <w:t>2022年拨付就业资金811.62万元，惠及辖区享受就业扶持政策人数达4068人。</w:t>
      </w:r>
    </w:p>
    <w:p>
      <w:pPr>
        <w:keepNext w:val="0"/>
        <w:keepLines w:val="0"/>
        <w:pageBreakBefore w:val="0"/>
        <w:widowControl w:val="0"/>
        <w:kinsoku/>
        <w:wordWrap/>
        <w:overflowPunct/>
        <w:topLinePunct w:val="0"/>
        <w:autoSpaceDE/>
        <w:autoSpaceDN/>
        <w:bidi w:val="0"/>
        <w:adjustRightInd w:val="0"/>
        <w:snapToGrid w:val="0"/>
        <w:spacing w:line="600" w:lineRule="exact"/>
        <w:ind w:firstLine="603" w:firstLineChars="200"/>
        <w:rPr>
          <w:rFonts w:hint="eastAsia" w:ascii="仿宋_GB2312" w:hAnsi="仿宋_GB2312" w:eastAsia="仿宋_GB2312" w:cs="仿宋_GB2312"/>
          <w:b w:val="0"/>
          <w:bCs w:val="0"/>
          <w:color w:val="000000" w:themeColor="text1"/>
          <w:spacing w:val="-10"/>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pacing w:val="-10"/>
          <w:sz w:val="32"/>
          <w:szCs w:val="32"/>
          <w:lang w:val="en-US" w:eastAsia="zh-CN"/>
          <w14:textFill>
            <w14:solidFill>
              <w14:schemeClr w14:val="tx1"/>
            </w14:solidFill>
          </w14:textFill>
        </w:rPr>
        <w:t>——支持提升社会保障水平。</w:t>
      </w:r>
      <w:r>
        <w:rPr>
          <w:rFonts w:hint="eastAsia" w:ascii="仿宋_GB2312" w:hAnsi="仿宋_GB2312" w:eastAsia="仿宋_GB2312" w:cs="仿宋_GB2312"/>
          <w:color w:val="000000" w:themeColor="text1"/>
          <w:spacing w:val="-10"/>
          <w:sz w:val="32"/>
          <w:szCs w:val="32"/>
          <w14:textFill>
            <w14:solidFill>
              <w14:schemeClr w14:val="tx1"/>
            </w14:solidFill>
          </w14:textFill>
        </w:rPr>
        <w:t>一是2022年安排基本公共卫生服务各级补助资金1751.79万元，</w:t>
      </w:r>
      <w:r>
        <w:rPr>
          <w:rFonts w:hint="eastAsia" w:ascii="仿宋_GB2312" w:hAnsi="仿宋_GB2312" w:eastAsia="仿宋_GB2312" w:cs="仿宋_GB2312"/>
          <w:b w:val="0"/>
          <w:bCs w:val="0"/>
          <w:color w:val="000000" w:themeColor="text1"/>
          <w:spacing w:val="-10"/>
          <w:sz w:val="32"/>
          <w:szCs w:val="32"/>
          <w:lang w:val="en-US" w:eastAsia="zh-CN"/>
          <w14:textFill>
            <w14:solidFill>
              <w14:schemeClr w14:val="tx1"/>
            </w14:solidFill>
          </w14:textFill>
        </w:rPr>
        <w:t>按我区各基层医疗卫生机构考核结果进行拨付，并对账务实操有针对性的提出指导意见，受到各基层医疗卫生机构的一致好评。二是及时落实困难群众价格临时补贴，将孤儿、事实无人抚养儿童纳入联动机制保障范围,全年发放资金</w:t>
      </w:r>
      <w:r>
        <w:rPr>
          <w:rFonts w:hint="eastAsia" w:ascii="仿宋_GB2312" w:hAnsi="仿宋_GB2312" w:eastAsia="仿宋_GB2312" w:cs="仿宋_GB2312"/>
          <w:color w:val="000000" w:themeColor="text1"/>
          <w:spacing w:val="-10"/>
          <w:sz w:val="32"/>
          <w:szCs w:val="32"/>
          <w14:textFill>
            <w14:solidFill>
              <w14:schemeClr w14:val="tx1"/>
            </w14:solidFill>
          </w14:textFill>
        </w:rPr>
        <w:t>854.62</w:t>
      </w:r>
      <w:r>
        <w:rPr>
          <w:rFonts w:hint="eastAsia" w:ascii="仿宋_GB2312" w:hAnsi="仿宋_GB2312" w:eastAsia="仿宋_GB2312" w:cs="仿宋_GB2312"/>
          <w:b w:val="0"/>
          <w:bCs w:val="0"/>
          <w:color w:val="000000" w:themeColor="text1"/>
          <w:spacing w:val="-10"/>
          <w:sz w:val="32"/>
          <w:szCs w:val="32"/>
          <w:lang w:val="en-US" w:eastAsia="zh-CN"/>
          <w14:textFill>
            <w14:solidFill>
              <w14:schemeClr w14:val="tx1"/>
            </w14:solidFill>
          </w14:textFill>
        </w:rPr>
        <w:t>万元，切实保障困难群众基本生活。</w:t>
      </w:r>
    </w:p>
    <w:p>
      <w:pPr>
        <w:keepNext w:val="0"/>
        <w:keepLines w:val="0"/>
        <w:pageBreakBefore w:val="0"/>
        <w:widowControl w:val="0"/>
        <w:kinsoku/>
        <w:wordWrap/>
        <w:overflowPunct/>
        <w:topLinePunct w:val="0"/>
        <w:autoSpaceDE/>
        <w:autoSpaceDN/>
        <w:bidi w:val="0"/>
        <w:adjustRightInd w:val="0"/>
        <w:snapToGrid w:val="0"/>
        <w:spacing w:line="600" w:lineRule="exact"/>
        <w:ind w:firstLine="603" w:firstLineChars="200"/>
        <w:rPr>
          <w:rFonts w:hint="eastAsia" w:ascii="仿宋_GB2312" w:hAnsi="仿宋_GB2312" w:eastAsia="仿宋_GB2312" w:cs="仿宋_GB2312"/>
          <w:color w:val="000000" w:themeColor="text1"/>
          <w:spacing w:val="-10"/>
          <w:sz w:val="32"/>
          <w:szCs w:val="32"/>
          <w14:textFill>
            <w14:solidFill>
              <w14:schemeClr w14:val="tx1"/>
            </w14:solidFill>
          </w14:textFill>
        </w:rPr>
      </w:pPr>
      <w:r>
        <w:rPr>
          <w:rFonts w:hint="eastAsia" w:ascii="仿宋_GB2312" w:hAnsi="仿宋_GB2312" w:eastAsia="仿宋_GB2312" w:cs="仿宋_GB2312"/>
          <w:b/>
          <w:bCs/>
          <w:color w:val="000000" w:themeColor="text1"/>
          <w:spacing w:val="-10"/>
          <w:sz w:val="32"/>
          <w:szCs w:val="32"/>
          <w:lang w:val="en-US" w:eastAsia="zh-CN"/>
          <w14:textFill>
            <w14:solidFill>
              <w14:schemeClr w14:val="tx1"/>
            </w14:solidFill>
          </w14:textFill>
        </w:rPr>
        <w:t>——支持新冠肺炎疫情防控。</w:t>
      </w:r>
      <w:r>
        <w:rPr>
          <w:rFonts w:hint="eastAsia" w:ascii="仿宋_GB2312" w:hAnsi="仿宋_GB2312" w:eastAsia="仿宋_GB2312" w:cs="仿宋_GB2312"/>
          <w:color w:val="000000" w:themeColor="text1"/>
          <w:spacing w:val="-10"/>
          <w:sz w:val="32"/>
          <w:szCs w:val="32"/>
          <w14:textFill>
            <w14:solidFill>
              <w14:schemeClr w14:val="tx1"/>
            </w14:solidFill>
          </w14:textFill>
        </w:rPr>
        <w:t>区财政坚决抗起疫情防控的政治责任，把做好疫情防控工作当做检验党史学习教育的试金石，加强资金使用调度，及时安排、拨付疫情资金，全年拨付新冠肺炎疫情防控资金1803.35万元，全力做好后勤保障，筑牢疫情防控线，织密疫情安全网，为我区疫情防控工作保驾护航。</w:t>
      </w:r>
    </w:p>
    <w:p>
      <w:pPr>
        <w:keepNext w:val="0"/>
        <w:keepLines w:val="0"/>
        <w:pageBreakBefore w:val="0"/>
        <w:widowControl w:val="0"/>
        <w:kinsoku/>
        <w:wordWrap/>
        <w:overflowPunct/>
        <w:topLinePunct w:val="0"/>
        <w:autoSpaceDE/>
        <w:autoSpaceDN/>
        <w:bidi w:val="0"/>
        <w:adjustRightInd w:val="0"/>
        <w:snapToGrid w:val="0"/>
        <w:spacing w:line="600" w:lineRule="exact"/>
        <w:ind w:firstLine="603" w:firstLineChars="200"/>
        <w:rPr>
          <w:rFonts w:hint="eastAsia" w:ascii="仿宋_GB2312" w:hAnsi="仿宋_GB2312" w:eastAsia="仿宋_GB2312" w:cs="仿宋_GB2312"/>
          <w:b w:val="0"/>
          <w:bCs w:val="0"/>
          <w:color w:val="000000" w:themeColor="text1"/>
          <w:spacing w:val="-10"/>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pacing w:val="-10"/>
          <w:sz w:val="32"/>
          <w:szCs w:val="32"/>
          <w:lang w:val="en-US" w:eastAsia="zh-CN"/>
          <w14:textFill>
            <w14:solidFill>
              <w14:schemeClr w14:val="tx1"/>
            </w14:solidFill>
          </w14:textFill>
        </w:rPr>
        <w:t>——支持推进“一卡通”管理。</w:t>
      </w:r>
      <w:r>
        <w:rPr>
          <w:rFonts w:hint="eastAsia" w:ascii="仿宋_GB2312" w:hAnsi="仿宋_GB2312" w:eastAsia="仿宋_GB2312" w:cs="仿宋_GB2312"/>
          <w:b w:val="0"/>
          <w:bCs w:val="0"/>
          <w:color w:val="000000" w:themeColor="text1"/>
          <w:spacing w:val="-10"/>
          <w:sz w:val="32"/>
          <w:szCs w:val="32"/>
          <w:lang w:val="en-US" w:eastAsia="zh-CN"/>
          <w14:textFill>
            <w14:solidFill>
              <w14:schemeClr w14:val="tx1"/>
            </w14:solidFill>
          </w14:textFill>
        </w:rPr>
        <w:t>2022年通过“一卡通”系统发放资金5190.41万元，惠及群众170668人次。有效利用省财政厅搭建的资金发放平台，规范资金发放流程，实现了“一张清单管制度、一个平台管发放、一个专栏管公开、一套规程堵漏洞”等工作目标。</w:t>
      </w:r>
    </w:p>
    <w:p>
      <w:pPr>
        <w:keepNext w:val="0"/>
        <w:keepLines w:val="0"/>
        <w:pageBreakBefore w:val="0"/>
        <w:widowControl w:val="0"/>
        <w:kinsoku/>
        <w:wordWrap/>
        <w:overflowPunct/>
        <w:topLinePunct w:val="0"/>
        <w:autoSpaceDE/>
        <w:autoSpaceDN/>
        <w:bidi w:val="0"/>
        <w:adjustRightInd w:val="0"/>
        <w:snapToGrid w:val="0"/>
        <w:spacing w:line="600" w:lineRule="exact"/>
        <w:ind w:firstLine="603" w:firstLineChars="200"/>
        <w:rPr>
          <w:rFonts w:hint="default" w:ascii="仿宋_GB2312" w:hAnsi="仿宋_GB2312" w:eastAsia="仿宋_GB2312" w:cs="仿宋_GB2312"/>
          <w:b w:val="0"/>
          <w:bCs w:val="0"/>
          <w:color w:val="000000" w:themeColor="text1"/>
          <w:spacing w:val="-10"/>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pacing w:val="-10"/>
          <w:sz w:val="32"/>
          <w:szCs w:val="32"/>
          <w:lang w:val="en-US" w:eastAsia="zh-CN"/>
          <w14:textFill>
            <w14:solidFill>
              <w14:schemeClr w14:val="tx1"/>
            </w14:solidFill>
          </w14:textFill>
        </w:rPr>
        <w:t>——支持老旧小区改造工作。</w:t>
      </w:r>
      <w:r>
        <w:rPr>
          <w:rFonts w:hint="eastAsia" w:ascii="仿宋_GB2312" w:hAnsi="仿宋_GB2312" w:eastAsia="仿宋_GB2312" w:cs="仿宋_GB2312"/>
          <w:b w:val="0"/>
          <w:bCs w:val="0"/>
          <w:color w:val="000000" w:themeColor="text1"/>
          <w:spacing w:val="-10"/>
          <w:sz w:val="32"/>
          <w:szCs w:val="32"/>
          <w:lang w:val="en-US" w:eastAsia="zh-CN"/>
          <w14:textFill>
            <w14:solidFill>
              <w14:schemeClr w14:val="tx1"/>
            </w14:solidFill>
          </w14:textFill>
        </w:rPr>
        <w:t>2022年拨付城镇老旧小区改造中央资金0.55亿元，多次召开项目资金落实协调会，督促项目单位加快工程进度，规范资金使用，提高资金使用效率，确保全区老旧小区改造工作快速推进，市容市貌得到进一步提升，人民群众的获得感、幸福感、安全感进一步增强。</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rPr>
          <w:rFonts w:hint="default" w:ascii="仿宋_GB2312" w:hAnsi="仿宋_GB2312" w:eastAsia="仿宋_GB2312" w:cs="仿宋_GB2312"/>
          <w:b/>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（五）落实积极财政政策，促进经济高质量发展</w:t>
      </w:r>
    </w:p>
    <w:p>
      <w:pPr>
        <w:keepNext w:val="0"/>
        <w:keepLines w:val="0"/>
        <w:pageBreakBefore w:val="0"/>
        <w:widowControl w:val="0"/>
        <w:kinsoku/>
        <w:wordWrap/>
        <w:overflowPunct/>
        <w:topLinePunct w:val="0"/>
        <w:autoSpaceDE/>
        <w:autoSpaceDN/>
        <w:bidi w:val="0"/>
        <w:adjustRightInd w:val="0"/>
        <w:snapToGrid w:val="0"/>
        <w:spacing w:line="600" w:lineRule="exact"/>
        <w:ind w:firstLine="603" w:firstLineChars="20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pacing w:val="-10"/>
          <w:sz w:val="32"/>
          <w:szCs w:val="32"/>
          <w:lang w:val="en-US" w:eastAsia="zh-CN"/>
          <w14:textFill>
            <w14:solidFill>
              <w14:schemeClr w14:val="tx1"/>
            </w14:solidFill>
          </w14:textFill>
        </w:rPr>
        <w:t>——</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创新驱动谋发展。</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坚持“项目为王”，</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积极发挥财政职能作用，重点支持科技创新和产业发展等具有引领带动作用的关键领域，为经济高质量发展集聚新动能。一是争取专项债券4000万元支持新东光电信息服务平台建设。二是兑付北方车辆仪表有限公司政策扶持资金141万元，保障企业在疫情、自然灾害等因素影响下稳定发展。三是安排1020万元元用于人力资源和总部经济等企业扶持政策兑现。</w:t>
      </w:r>
    </w:p>
    <w:p>
      <w:pPr>
        <w:keepNext w:val="0"/>
        <w:keepLines w:val="0"/>
        <w:pageBreakBefore w:val="0"/>
        <w:widowControl w:val="0"/>
        <w:kinsoku/>
        <w:wordWrap/>
        <w:overflowPunct/>
        <w:topLinePunct w:val="0"/>
        <w:autoSpaceDE/>
        <w:autoSpaceDN/>
        <w:bidi w:val="0"/>
        <w:adjustRightInd w:val="0"/>
        <w:snapToGrid w:val="0"/>
        <w:spacing w:line="600" w:lineRule="exact"/>
        <w:ind w:firstLine="603" w:firstLineChars="200"/>
        <w:rPr>
          <w:rFonts w:hint="default" w:ascii="仿宋_GB2312" w:hAnsi="仿宋_GB2312" w:eastAsia="仿宋_GB2312" w:cs="仿宋_GB2312"/>
          <w:b w:val="0"/>
          <w:bCs w:val="0"/>
          <w:color w:val="000000" w:themeColor="text1"/>
          <w:spacing w:val="-10"/>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pacing w:val="-10"/>
          <w:sz w:val="32"/>
          <w:szCs w:val="32"/>
          <w:lang w:val="en-US" w:eastAsia="zh-CN"/>
          <w14:textFill>
            <w14:solidFill>
              <w14:schemeClr w14:val="tx1"/>
            </w14:solidFill>
          </w14:textFill>
        </w:rPr>
        <w:t>——</w:t>
      </w:r>
      <w:r>
        <w:rPr>
          <w:rFonts w:hint="default" w:ascii="仿宋_GB2312" w:hAnsi="仿宋_GB2312" w:eastAsia="仿宋_GB2312" w:cs="仿宋_GB2312"/>
          <w:b/>
          <w:bCs/>
          <w:color w:val="000000" w:themeColor="text1"/>
          <w:spacing w:val="-10"/>
          <w:sz w:val="32"/>
          <w:szCs w:val="32"/>
          <w:lang w:val="en-US" w:eastAsia="zh-CN"/>
          <w14:textFill>
            <w14:solidFill>
              <w14:schemeClr w14:val="tx1"/>
            </w14:solidFill>
          </w14:textFill>
        </w:rPr>
        <w:t>减税降费</w:t>
      </w:r>
      <w:r>
        <w:rPr>
          <w:rFonts w:hint="eastAsia" w:ascii="仿宋_GB2312" w:hAnsi="仿宋_GB2312" w:eastAsia="仿宋_GB2312" w:cs="仿宋_GB2312"/>
          <w:b/>
          <w:bCs/>
          <w:color w:val="000000" w:themeColor="text1"/>
          <w:spacing w:val="-10"/>
          <w:sz w:val="32"/>
          <w:szCs w:val="32"/>
          <w:lang w:val="en-US" w:eastAsia="zh-CN"/>
          <w14:textFill>
            <w14:solidFill>
              <w14:schemeClr w14:val="tx1"/>
            </w14:solidFill>
          </w14:textFill>
        </w:rPr>
        <w:t>消负担</w:t>
      </w:r>
      <w:r>
        <w:rPr>
          <w:rFonts w:hint="default" w:ascii="仿宋_GB2312" w:hAnsi="仿宋_GB2312" w:eastAsia="仿宋_GB2312" w:cs="仿宋_GB2312"/>
          <w:b/>
          <w:bCs/>
          <w:color w:val="000000" w:themeColor="text1"/>
          <w:spacing w:val="-10"/>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pacing w:val="-10"/>
          <w:sz w:val="32"/>
          <w:szCs w:val="32"/>
          <w:lang w:val="en-US" w:eastAsia="zh-CN"/>
          <w14:textFill>
            <w14:solidFill>
              <w14:schemeClr w14:val="tx1"/>
            </w14:solidFill>
          </w14:textFill>
        </w:rPr>
        <w:t>落实习近平总书记“减税降费必须实打实、硬碰硬”重要指示精神，持续落实增值税留抵退税等制度性减税降费政策，落实好小微企业普惠性税收减免以及部分延续性税费支持政策。全年新增减税降费约1.47亿元，留抵退税2.62亿元。</w:t>
      </w:r>
    </w:p>
    <w:p>
      <w:pPr>
        <w:keepNext w:val="0"/>
        <w:keepLines w:val="0"/>
        <w:pageBreakBefore w:val="0"/>
        <w:widowControl w:val="0"/>
        <w:kinsoku/>
        <w:wordWrap/>
        <w:overflowPunct/>
        <w:topLinePunct w:val="0"/>
        <w:autoSpaceDE/>
        <w:autoSpaceDN/>
        <w:bidi w:val="0"/>
        <w:adjustRightInd w:val="0"/>
        <w:snapToGrid w:val="0"/>
        <w:spacing w:line="600" w:lineRule="exact"/>
        <w:ind w:firstLine="603" w:firstLineChars="200"/>
        <w:rPr>
          <w:rFonts w:hint="eastAsia" w:ascii="仿宋_GB2312" w:hAnsi="Calibri" w:eastAsia="仿宋_GB2312" w:cs="Times New Roman"/>
          <w:b w:val="0"/>
          <w:bCs w:val="0"/>
          <w:color w:val="000000" w:themeColor="text1"/>
          <w:spacing w:val="-10"/>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pacing w:val="-10"/>
          <w:sz w:val="32"/>
          <w:szCs w:val="32"/>
          <w:lang w:val="en-US" w:eastAsia="zh-CN"/>
          <w14:textFill>
            <w14:solidFill>
              <w14:schemeClr w14:val="tx1"/>
            </w14:solidFill>
          </w14:textFill>
        </w:rPr>
        <w:t>——</w:t>
      </w:r>
      <w:r>
        <w:rPr>
          <w:rFonts w:hint="eastAsia" w:ascii="仿宋_GB2312" w:hAnsi="Calibri" w:eastAsia="仿宋_GB2312" w:cs="Times New Roman"/>
          <w:b/>
          <w:bCs/>
          <w:color w:val="000000" w:themeColor="text1"/>
          <w:spacing w:val="-10"/>
          <w:sz w:val="32"/>
          <w:szCs w:val="32"/>
          <w:lang w:val="en-US" w:eastAsia="zh-CN"/>
          <w14:textFill>
            <w14:solidFill>
              <w14:schemeClr w14:val="tx1"/>
            </w14:solidFill>
          </w14:textFill>
        </w:rPr>
        <w:t>多措并举强绩效。</w:t>
      </w:r>
      <w:r>
        <w:rPr>
          <w:rFonts w:hint="eastAsia" w:ascii="仿宋_GB2312" w:hAnsi="Calibri" w:eastAsia="仿宋_GB2312" w:cs="Times New Roman"/>
          <w:b w:val="0"/>
          <w:bCs w:val="0"/>
          <w:color w:val="000000" w:themeColor="text1"/>
          <w:spacing w:val="-10"/>
          <w:sz w:val="32"/>
          <w:szCs w:val="32"/>
          <w:lang w:val="en-US" w:eastAsia="zh-CN"/>
          <w14:textFill>
            <w14:solidFill>
              <w14:schemeClr w14:val="tx1"/>
            </w14:solidFill>
          </w14:textFill>
        </w:rPr>
        <w:t>为进一步落实全面实施预算绩效管理相关政策，我区通过公开招标方式聘用两家第三方评价机构分别对预算绩效管理全流程业务进行服务和对10个财政重点项目及2个部门整体开展重点绩效评价，以强化支出责任，提高财政资金使用绩效。</w:t>
      </w:r>
    </w:p>
    <w:p>
      <w:pPr>
        <w:keepNext w:val="0"/>
        <w:keepLines w:val="0"/>
        <w:pageBreakBefore w:val="0"/>
        <w:widowControl w:val="0"/>
        <w:kinsoku/>
        <w:wordWrap/>
        <w:overflowPunct/>
        <w:topLinePunct w:val="0"/>
        <w:autoSpaceDE/>
        <w:autoSpaceDN/>
        <w:bidi w:val="0"/>
        <w:adjustRightInd w:val="0"/>
        <w:snapToGrid w:val="0"/>
        <w:spacing w:line="600" w:lineRule="exact"/>
        <w:ind w:firstLine="603" w:firstLineChars="200"/>
        <w:rPr>
          <w:rFonts w:hint="eastAsia" w:ascii="仿宋_GB2312" w:hAnsi="Calibri" w:eastAsia="仿宋_GB2312" w:cs="Times New Roman"/>
          <w:b w:val="0"/>
          <w:bCs w:val="0"/>
          <w:color w:val="000000" w:themeColor="text1"/>
          <w:spacing w:val="-10"/>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pacing w:val="-10"/>
          <w:sz w:val="32"/>
          <w:szCs w:val="32"/>
          <w:lang w:val="en-US" w:eastAsia="zh-CN"/>
          <w14:textFill>
            <w14:solidFill>
              <w14:schemeClr w14:val="tx1"/>
            </w14:solidFill>
          </w14:textFill>
        </w:rPr>
        <w:t>——预算管理重规范</w:t>
      </w:r>
      <w:r>
        <w:rPr>
          <w:rFonts w:hint="eastAsia" w:ascii="仿宋_GB2312" w:hAnsi="Calibri" w:eastAsia="仿宋_GB2312" w:cs="Times New Roman"/>
          <w:b/>
          <w:bCs/>
          <w:color w:val="000000" w:themeColor="text1"/>
          <w:spacing w:val="-10"/>
          <w:sz w:val="32"/>
          <w:szCs w:val="32"/>
          <w:lang w:val="en-US" w:eastAsia="zh-CN"/>
          <w14:textFill>
            <w14:solidFill>
              <w14:schemeClr w14:val="tx1"/>
            </w14:solidFill>
          </w14:textFill>
        </w:rPr>
        <w:t>。</w:t>
      </w:r>
      <w:r>
        <w:rPr>
          <w:rFonts w:hint="eastAsia" w:ascii="仿宋_GB2312" w:hAnsi="Calibri" w:eastAsia="仿宋_GB2312" w:cs="Times New Roman"/>
          <w:b w:val="0"/>
          <w:bCs w:val="0"/>
          <w:color w:val="000000" w:themeColor="text1"/>
          <w:spacing w:val="-10"/>
          <w:sz w:val="32"/>
          <w:szCs w:val="32"/>
          <w:lang w:val="en-US" w:eastAsia="zh-CN"/>
          <w14:textFill>
            <w14:solidFill>
              <w14:schemeClr w14:val="tx1"/>
            </w14:solidFill>
          </w14:textFill>
        </w:rPr>
        <w:t>加强财政信息化建设，全面推进预算管理一体化，覆盖全区53个部门和103个单位，对预算编制、预算执行、预算调整、预算绩效、预算监督等业务集中一体化管理，规范业务流程，有效提高财政资金支出效率，保障资金支出安全、便捷、规范。</w:t>
      </w:r>
    </w:p>
    <w:p>
      <w:pPr>
        <w:keepNext w:val="0"/>
        <w:keepLines w:val="0"/>
        <w:pageBreakBefore w:val="0"/>
        <w:widowControl w:val="0"/>
        <w:kinsoku/>
        <w:wordWrap/>
        <w:overflowPunct/>
        <w:topLinePunct w:val="0"/>
        <w:autoSpaceDE/>
        <w:autoSpaceDN/>
        <w:bidi w:val="0"/>
        <w:adjustRightInd w:val="0"/>
        <w:snapToGrid w:val="0"/>
        <w:spacing w:line="600" w:lineRule="exact"/>
        <w:ind w:firstLine="603" w:firstLineChars="200"/>
        <w:rPr>
          <w:rFonts w:hint="eastAsia" w:ascii="仿宋_GB2312" w:hAnsi="Calibri" w:eastAsia="仿宋_GB2312" w:cs="Times New Roman"/>
          <w:b w:val="0"/>
          <w:bCs w:val="0"/>
          <w:color w:val="000000" w:themeColor="text1"/>
          <w:spacing w:val="-10"/>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pacing w:val="-10"/>
          <w:sz w:val="32"/>
          <w:szCs w:val="32"/>
          <w:lang w:val="en-US" w:eastAsia="zh-CN"/>
          <w14:textFill>
            <w14:solidFill>
              <w14:schemeClr w14:val="tx1"/>
            </w14:solidFill>
          </w14:textFill>
        </w:rPr>
        <w:t>——政府采购助融资。</w:t>
      </w:r>
      <w:r>
        <w:rPr>
          <w:rFonts w:hint="eastAsia" w:ascii="仿宋_GB2312" w:hAnsi="Calibri" w:eastAsia="仿宋_GB2312" w:cs="Times New Roman"/>
          <w:b w:val="0"/>
          <w:bCs w:val="0"/>
          <w:color w:val="000000" w:themeColor="text1"/>
          <w:spacing w:val="-10"/>
          <w:sz w:val="32"/>
          <w:szCs w:val="32"/>
          <w:lang w:val="en-US" w:eastAsia="zh-CN"/>
          <w14:textFill>
            <w14:solidFill>
              <w14:schemeClr w14:val="tx1"/>
            </w14:solidFill>
          </w14:textFill>
        </w:rPr>
        <w:t>出台《红旗区财政局关于进一步推进政府采购合同融资工作实施方案》，发挥政府采购扶持中小企业发展的政策功能，促进政府采购诚信体系建设，拓展中小微企业融资渠道，推进政府采购合同融资。2022年全年政府采购合同融资4笔，融资金额1561.28万元，有效缓解中小微企业融资难、融资贵问题，促进金融与中小微企业良性互动发展。</w:t>
      </w:r>
    </w:p>
    <w:p>
      <w:pPr>
        <w:keepNext w:val="0"/>
        <w:keepLines w:val="0"/>
        <w:pageBreakBefore w:val="0"/>
        <w:widowControl w:val="0"/>
        <w:kinsoku/>
        <w:wordWrap/>
        <w:overflowPunct/>
        <w:topLinePunct w:val="0"/>
        <w:autoSpaceDE/>
        <w:autoSpaceDN/>
        <w:bidi w:val="0"/>
        <w:adjustRightInd w:val="0"/>
        <w:snapToGrid w:val="0"/>
        <w:spacing w:line="600" w:lineRule="exact"/>
        <w:ind w:firstLine="603" w:firstLineChars="200"/>
        <w:rPr>
          <w:rFonts w:hint="eastAsia" w:ascii="仿宋_GB2312" w:hAnsi="Calibri" w:eastAsia="仿宋_GB2312" w:cs="Times New Roman"/>
          <w:b w:val="0"/>
          <w:bCs w:val="0"/>
          <w:color w:val="auto"/>
          <w:spacing w:val="-10"/>
          <w:sz w:val="32"/>
          <w:szCs w:val="32"/>
          <w:lang w:val="en-US" w:eastAsia="zh-CN"/>
        </w:rPr>
      </w:pPr>
      <w:bookmarkStart w:id="0" w:name="_GoBack"/>
      <w:r>
        <w:rPr>
          <w:rFonts w:hint="eastAsia" w:ascii="仿宋_GB2312" w:hAnsi="仿宋_GB2312" w:eastAsia="仿宋_GB2312" w:cs="仿宋_GB2312"/>
          <w:b/>
          <w:bCs/>
          <w:color w:val="auto"/>
          <w:spacing w:val="-10"/>
          <w:sz w:val="32"/>
          <w:szCs w:val="32"/>
          <w:lang w:val="en-US" w:eastAsia="zh-CN"/>
        </w:rPr>
        <w:t>——</w:t>
      </w:r>
      <w:r>
        <w:rPr>
          <w:rFonts w:hint="eastAsia" w:ascii="仿宋_GB2312" w:hAnsi="Calibri" w:eastAsia="仿宋_GB2312" w:cs="Times New Roman"/>
          <w:b/>
          <w:bCs/>
          <w:color w:val="auto"/>
          <w:spacing w:val="-10"/>
          <w:sz w:val="32"/>
          <w:szCs w:val="32"/>
          <w:lang w:val="en-US" w:eastAsia="zh-CN"/>
        </w:rPr>
        <w:t>财政资金保收益。</w:t>
      </w:r>
      <w:r>
        <w:rPr>
          <w:rFonts w:hint="eastAsia" w:ascii="仿宋_GB2312" w:hAnsi="Calibri" w:eastAsia="仿宋_GB2312" w:cs="Times New Roman"/>
          <w:b w:val="0"/>
          <w:bCs w:val="0"/>
          <w:color w:val="auto"/>
          <w:spacing w:val="-10"/>
          <w:sz w:val="32"/>
          <w:szCs w:val="32"/>
          <w:lang w:val="en-US" w:eastAsia="zh-CN"/>
        </w:rPr>
        <w:t>对存量资金进行中长期定存，提高资金的收益，截至2022年底，我区城乡居民养老保险财政专户定存资金0.48亿元，社保财政专户定存资金1.3亿元。</w:t>
      </w:r>
    </w:p>
    <w:bookmarkEnd w:id="0"/>
    <w:p>
      <w:pPr>
        <w:ind w:firstLine="660"/>
        <w:rPr>
          <w:rFonts w:hint="eastAsia" w:ascii="仿宋_GB2312" w:eastAsia="仿宋_GB2312"/>
          <w:color w:val="000000" w:themeColor="text1"/>
          <w:sz w:val="32"/>
          <w:szCs w:val="32"/>
          <w14:textFill>
            <w14:solidFill>
              <w14:schemeClr w14:val="tx1"/>
            </w14:solidFill>
          </w14:textFill>
        </w:rPr>
      </w:pPr>
    </w:p>
    <w:p>
      <w:pPr>
        <w:rPr>
          <w:color w:val="000000" w:themeColor="text1"/>
          <w14:textFill>
            <w14:solidFill>
              <w14:schemeClr w14:val="tx1"/>
            </w14:solidFill>
          </w14:textFill>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FiZDIzMjBhYjY3YjcwYmIxYWI1NjM4YzVmYjEyMDMifQ=="/>
  </w:docVars>
  <w:rsids>
    <w:rsidRoot w:val="00000000"/>
    <w:rsid w:val="015D0D5E"/>
    <w:rsid w:val="023B0973"/>
    <w:rsid w:val="029702A0"/>
    <w:rsid w:val="02B80216"/>
    <w:rsid w:val="02BA5D3C"/>
    <w:rsid w:val="02BF15A4"/>
    <w:rsid w:val="02EB5B90"/>
    <w:rsid w:val="03BB7FBE"/>
    <w:rsid w:val="04893C18"/>
    <w:rsid w:val="055B3806"/>
    <w:rsid w:val="061B4D44"/>
    <w:rsid w:val="064C314F"/>
    <w:rsid w:val="077C5CB6"/>
    <w:rsid w:val="0814739E"/>
    <w:rsid w:val="091000AF"/>
    <w:rsid w:val="09371E95"/>
    <w:rsid w:val="0A4212FE"/>
    <w:rsid w:val="0A456833"/>
    <w:rsid w:val="0A5D1DCF"/>
    <w:rsid w:val="0A7B4003"/>
    <w:rsid w:val="0BB91287"/>
    <w:rsid w:val="0E8D2557"/>
    <w:rsid w:val="1030763E"/>
    <w:rsid w:val="12AB56A1"/>
    <w:rsid w:val="139F4876"/>
    <w:rsid w:val="1437543F"/>
    <w:rsid w:val="15063063"/>
    <w:rsid w:val="15086A2A"/>
    <w:rsid w:val="15520056"/>
    <w:rsid w:val="15A308B2"/>
    <w:rsid w:val="170F61FF"/>
    <w:rsid w:val="173B5475"/>
    <w:rsid w:val="17C52D61"/>
    <w:rsid w:val="18D94D16"/>
    <w:rsid w:val="191E6BCD"/>
    <w:rsid w:val="19E82D37"/>
    <w:rsid w:val="1A116EA2"/>
    <w:rsid w:val="1AF75928"/>
    <w:rsid w:val="1B770817"/>
    <w:rsid w:val="1E7A1416"/>
    <w:rsid w:val="210743EB"/>
    <w:rsid w:val="218B0B78"/>
    <w:rsid w:val="21BE2CFB"/>
    <w:rsid w:val="24303C58"/>
    <w:rsid w:val="25451805"/>
    <w:rsid w:val="255D2D4E"/>
    <w:rsid w:val="271B474C"/>
    <w:rsid w:val="2A955552"/>
    <w:rsid w:val="2B0100FD"/>
    <w:rsid w:val="2B2C517A"/>
    <w:rsid w:val="2B3475CF"/>
    <w:rsid w:val="2BC55A49"/>
    <w:rsid w:val="2CD07D87"/>
    <w:rsid w:val="2CD21D51"/>
    <w:rsid w:val="2DFD2DFD"/>
    <w:rsid w:val="2F05640D"/>
    <w:rsid w:val="300872A7"/>
    <w:rsid w:val="31653193"/>
    <w:rsid w:val="31B54415"/>
    <w:rsid w:val="31DE2F46"/>
    <w:rsid w:val="325925CC"/>
    <w:rsid w:val="32BA750F"/>
    <w:rsid w:val="32FA03FC"/>
    <w:rsid w:val="349A13A6"/>
    <w:rsid w:val="34F321B4"/>
    <w:rsid w:val="36674365"/>
    <w:rsid w:val="36CE17DB"/>
    <w:rsid w:val="37E33064"/>
    <w:rsid w:val="3AB313DC"/>
    <w:rsid w:val="3CD64F45"/>
    <w:rsid w:val="3D430101"/>
    <w:rsid w:val="3D9A6E6F"/>
    <w:rsid w:val="3EE576C2"/>
    <w:rsid w:val="3F2521B4"/>
    <w:rsid w:val="41E33C60"/>
    <w:rsid w:val="421D5765"/>
    <w:rsid w:val="4258464E"/>
    <w:rsid w:val="44E54CEA"/>
    <w:rsid w:val="45837C34"/>
    <w:rsid w:val="45D60C4F"/>
    <w:rsid w:val="468A1394"/>
    <w:rsid w:val="469B2D5C"/>
    <w:rsid w:val="46D5626E"/>
    <w:rsid w:val="471548BC"/>
    <w:rsid w:val="475F022D"/>
    <w:rsid w:val="47D93B3C"/>
    <w:rsid w:val="47E26E94"/>
    <w:rsid w:val="47E86474"/>
    <w:rsid w:val="48932803"/>
    <w:rsid w:val="4977360C"/>
    <w:rsid w:val="49CA7BE0"/>
    <w:rsid w:val="4B1650A7"/>
    <w:rsid w:val="4B7C7600"/>
    <w:rsid w:val="4BC028A6"/>
    <w:rsid w:val="4D153868"/>
    <w:rsid w:val="4DD51249"/>
    <w:rsid w:val="4E1C0C26"/>
    <w:rsid w:val="4EA03605"/>
    <w:rsid w:val="4F4026F2"/>
    <w:rsid w:val="4FE45773"/>
    <w:rsid w:val="50A849F3"/>
    <w:rsid w:val="50EC2B32"/>
    <w:rsid w:val="537868FE"/>
    <w:rsid w:val="53C51035"/>
    <w:rsid w:val="53E64F60"/>
    <w:rsid w:val="54240834"/>
    <w:rsid w:val="546649A9"/>
    <w:rsid w:val="551663CF"/>
    <w:rsid w:val="56F91B04"/>
    <w:rsid w:val="57A2219C"/>
    <w:rsid w:val="58A9755A"/>
    <w:rsid w:val="59D6437F"/>
    <w:rsid w:val="5B863B83"/>
    <w:rsid w:val="5C073BD0"/>
    <w:rsid w:val="5C8E7193"/>
    <w:rsid w:val="5CF36FF6"/>
    <w:rsid w:val="5DAB167E"/>
    <w:rsid w:val="5DC5170F"/>
    <w:rsid w:val="6022031E"/>
    <w:rsid w:val="60CE4002"/>
    <w:rsid w:val="60D94755"/>
    <w:rsid w:val="61B76844"/>
    <w:rsid w:val="643C5726"/>
    <w:rsid w:val="66B772E6"/>
    <w:rsid w:val="677F6056"/>
    <w:rsid w:val="67A52785"/>
    <w:rsid w:val="681A7B2C"/>
    <w:rsid w:val="69344C1E"/>
    <w:rsid w:val="696574CD"/>
    <w:rsid w:val="698E2580"/>
    <w:rsid w:val="6B961BC0"/>
    <w:rsid w:val="6C78592B"/>
    <w:rsid w:val="6CBC5656"/>
    <w:rsid w:val="6E61708B"/>
    <w:rsid w:val="6EFA2466"/>
    <w:rsid w:val="6F370FC4"/>
    <w:rsid w:val="703A6FBE"/>
    <w:rsid w:val="70A971E8"/>
    <w:rsid w:val="70E433CD"/>
    <w:rsid w:val="70E94540"/>
    <w:rsid w:val="71EC42E8"/>
    <w:rsid w:val="74786307"/>
    <w:rsid w:val="749D7B1B"/>
    <w:rsid w:val="756100A4"/>
    <w:rsid w:val="7A7255A6"/>
    <w:rsid w:val="7B3D7962"/>
    <w:rsid w:val="7B642F91"/>
    <w:rsid w:val="7BB35E76"/>
    <w:rsid w:val="7BC41E31"/>
    <w:rsid w:val="7D43322A"/>
    <w:rsid w:val="7DAD3FC0"/>
    <w:rsid w:val="7F8342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262</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2022-09-05T10:37:00Z</dcterms:created>
  <dc:creator>Administrator</dc:creator>
  <cp:lastModifiedBy>涣涣兮</cp:lastModifiedBy>
  <dcterms:modified xsi:type="dcterms:W3CDTF">2024-04-03T08:27:34Z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0D6690371F0443FBBFB2EBBAABDFC398_12</vt:lpwstr>
  </property>
</Properties>
</file>