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红旗区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一般公共预算“三公”经费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决算执行情况说明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</w:rPr>
        <w:t>202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</w:t>
      </w:r>
      <w:r>
        <w:rPr>
          <w:rFonts w:hint="eastAsia" w:ascii="仿宋_GB2312" w:hAnsi="文星仿宋" w:eastAsia="仿宋_GB2312"/>
          <w:sz w:val="32"/>
          <w:szCs w:val="30"/>
        </w:rPr>
        <w:t>年全区一般公共</w:t>
      </w:r>
      <w:bookmarkStart w:id="0" w:name="_GoBack"/>
      <w:bookmarkEnd w:id="0"/>
      <w:r>
        <w:rPr>
          <w:rFonts w:hint="eastAsia" w:ascii="仿宋_GB2312" w:hAnsi="文星仿宋" w:eastAsia="仿宋_GB2312"/>
          <w:sz w:val="32"/>
          <w:szCs w:val="30"/>
        </w:rPr>
        <w:t>预算安排的“三公”经费决算支出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160.08</w:t>
      </w:r>
      <w:r>
        <w:rPr>
          <w:rFonts w:hint="eastAsia" w:ascii="仿宋_GB2312" w:hAnsi="文星仿宋" w:eastAsia="仿宋_GB2312"/>
          <w:sz w:val="32"/>
          <w:szCs w:val="30"/>
        </w:rPr>
        <w:t>万元，比上年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64.36</w:t>
      </w:r>
      <w:r>
        <w:rPr>
          <w:rFonts w:hint="eastAsia" w:ascii="仿宋_GB2312" w:hAnsi="文星仿宋" w:eastAsia="仿宋_GB2312"/>
          <w:sz w:val="32"/>
          <w:szCs w:val="30"/>
        </w:rPr>
        <w:t>万元，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28.7</w:t>
      </w:r>
      <w:r>
        <w:rPr>
          <w:rFonts w:hint="eastAsia" w:ascii="仿宋_GB2312" w:hAnsi="文星仿宋" w:eastAsia="仿宋_GB2312"/>
          <w:sz w:val="32"/>
          <w:szCs w:val="30"/>
        </w:rPr>
        <w:t>%。其中：因公出国（境）费0万元，公务接待费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26.60</w:t>
      </w:r>
      <w:r>
        <w:rPr>
          <w:rFonts w:hint="eastAsia" w:ascii="仿宋_GB2312" w:hAnsi="文星仿宋" w:eastAsia="仿宋_GB2312"/>
          <w:sz w:val="32"/>
          <w:szCs w:val="30"/>
        </w:rPr>
        <w:t>万元，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下降42.6</w:t>
      </w:r>
      <w:r>
        <w:rPr>
          <w:rFonts w:hint="eastAsia" w:ascii="仿宋_GB2312" w:hAnsi="文星仿宋" w:eastAsia="仿宋_GB2312"/>
          <w:sz w:val="32"/>
          <w:szCs w:val="30"/>
        </w:rPr>
        <w:t>%；公务用车运行维护费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125.23</w:t>
      </w:r>
      <w:r>
        <w:rPr>
          <w:rFonts w:hint="eastAsia" w:ascii="仿宋_GB2312" w:hAnsi="文星仿宋" w:eastAsia="仿宋_GB2312"/>
          <w:sz w:val="32"/>
          <w:szCs w:val="30"/>
        </w:rPr>
        <w:t>万元，下降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24.1</w:t>
      </w:r>
      <w:r>
        <w:rPr>
          <w:rFonts w:hint="eastAsia" w:ascii="仿宋_GB2312" w:hAnsi="文星仿宋" w:eastAsia="仿宋_GB2312"/>
          <w:sz w:val="32"/>
          <w:szCs w:val="30"/>
        </w:rPr>
        <w:t>%；公务用车购置费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8.25</w:t>
      </w:r>
      <w:r>
        <w:rPr>
          <w:rFonts w:hint="eastAsia" w:ascii="仿宋_GB2312" w:hAnsi="文星仿宋" w:eastAsia="仿宋_GB2312"/>
          <w:sz w:val="32"/>
          <w:szCs w:val="30"/>
        </w:rPr>
        <w:t>万元，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36.7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  <w:lang w:eastAsia="zh-CN"/>
        </w:rPr>
      </w:pPr>
      <w:r>
        <w:rPr>
          <w:rFonts w:hint="eastAsia" w:ascii="仿宋_GB2312" w:hAnsi="文星仿宋" w:eastAsia="仿宋_GB2312"/>
          <w:sz w:val="32"/>
          <w:szCs w:val="30"/>
        </w:rPr>
        <w:t>我区“三公”经费主要是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公务接待费、</w:t>
      </w:r>
      <w:r>
        <w:rPr>
          <w:rFonts w:hint="eastAsia" w:ascii="仿宋_GB2312" w:hAnsi="文星仿宋" w:eastAsia="仿宋_GB2312"/>
          <w:sz w:val="32"/>
          <w:szCs w:val="30"/>
        </w:rPr>
        <w:t>公务用车运行维护费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、</w:t>
      </w:r>
      <w:r>
        <w:rPr>
          <w:rFonts w:hint="eastAsia" w:ascii="仿宋_GB2312" w:hAnsi="文星仿宋" w:eastAsia="仿宋_GB2312"/>
          <w:sz w:val="32"/>
          <w:szCs w:val="30"/>
        </w:rPr>
        <w:t>公务用车购置费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</w:rPr>
        <w:t>，其主要原因是：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严格执行勤俭节约坚持过紧日子要求，严格财政支出，压减行政运行成本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。</w:t>
      </w:r>
    </w:p>
    <w:tbl>
      <w:tblPr>
        <w:tblStyle w:val="2"/>
        <w:tblW w:w="11760" w:type="dxa"/>
        <w:tblInd w:w="-1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年截至第四季度有关经费支出累计数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地区名称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一、“三公”经费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“三公”经费合计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公务用车购置及运行维护费</w:t>
            </w: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 其中：出国（境）培训费用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1.公务用车购置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2.公务用车运行费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1.国内接待费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2.国（境）外接待费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其中：外事接待费</w:t>
            </w:r>
          </w:p>
        </w:tc>
        <w:tc>
          <w:tcPr>
            <w:tcW w:w="10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红旗区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133.48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125.23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26.60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26.60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上年同期有关经费支出累计数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地区名称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一、“三公”经费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“三公”经费合计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公务用车购置及运行维护费</w:t>
            </w: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 其中：出国（境）培训费用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1.公务用车购置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2.公务用车运行费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1.国内接待费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2.国（境）外接待费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其中：外事接待费</w:t>
            </w:r>
          </w:p>
        </w:tc>
        <w:tc>
          <w:tcPr>
            <w:tcW w:w="10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</w:tr>
    </w:tbl>
    <w:p>
      <w:pPr>
        <w:widowControl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1760" w:type="dxa"/>
        <w:tblInd w:w="-1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红旗区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224.44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178.13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13.04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165.09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46.31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46.31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</w:tbl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仿宋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iZDIzMjBhYjY3YjcwYmIxYWI1NjM4YzVmYjEyMDMifQ=="/>
  </w:docVars>
  <w:rsids>
    <w:rsidRoot w:val="00000000"/>
    <w:rsid w:val="0B0F2D98"/>
    <w:rsid w:val="0C8D437C"/>
    <w:rsid w:val="14BE56CB"/>
    <w:rsid w:val="26142262"/>
    <w:rsid w:val="379D7560"/>
    <w:rsid w:val="42733917"/>
    <w:rsid w:val="54E23DEE"/>
    <w:rsid w:val="591E7A48"/>
    <w:rsid w:val="64061457"/>
    <w:rsid w:val="72B104CE"/>
    <w:rsid w:val="7697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2022-09-05T10:56:00Z</dcterms:created>
  <dc:creator>Administrator</dc:creator>
  <cp:lastModifiedBy>涣涣兮</cp:lastModifiedBy>
  <dcterms:modified xsi:type="dcterms:W3CDTF">2023-09-07T03:30:10Z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F0995875D235486D8BF62E3131F5526C_12</vt:lpwstr>
  </property>
</Properties>
</file>