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hd w:val="clear"/>
        <w:spacing w:before="56" w:beforeAutospacing="0" w:afterAutospacing="0" w:line="1200" w:lineRule="exact"/>
        <w:ind w:right="266"/>
        <w:jc w:val="both"/>
        <w:rPr>
          <w:rFonts w:hint="default" w:ascii="Times New Roman" w:hAnsi="Times New Roman" w:eastAsia="仿宋_GB2312" w:cs="Times New Roman"/>
          <w:snapToGrid w:val="0"/>
          <w:color w:val="FF0000"/>
          <w:spacing w:val="-108"/>
          <w:sz w:val="128"/>
          <w:szCs w:val="128"/>
          <w:highlight w:val="none"/>
          <w:lang w:val="en-US" w:eastAsia="zh-CN"/>
        </w:rPr>
      </w:pPr>
      <w:bookmarkStart w:id="0" w:name="_Hlk127694094"/>
      <w:r>
        <w:rPr>
          <w:rFonts w:hint="eastAsia" w:ascii="Times New Roman" w:hAnsi="Times New Roman" w:eastAsia="仿宋_GB2312" w:cs="Times New Roman"/>
          <w:snapToGrid w:val="0"/>
          <w:color w:val="FF0000"/>
          <w:spacing w:val="-108"/>
          <w:sz w:val="128"/>
          <w:szCs w:val="128"/>
          <w:highlight w:val="none"/>
          <w:lang w:val="en-US" w:eastAsia="zh-CN"/>
        </w:rPr>
        <w:t xml:space="preserve">                                                                                                                                                                                                                            </w:t>
      </w:r>
    </w:p>
    <w:p>
      <w:pPr>
        <w:pStyle w:val="12"/>
        <w:shd w:val="clear"/>
        <w:spacing w:before="56" w:beforeAutospacing="0" w:afterAutospacing="0" w:line="1200" w:lineRule="exact"/>
        <w:ind w:right="266"/>
        <w:jc w:val="center"/>
        <w:outlineLvl w:val="0"/>
        <w:rPr>
          <w:rFonts w:hint="eastAsia" w:ascii="Times New Roman" w:hAnsi="Times New Roman" w:eastAsia="华文新魏" w:cs="Times New Roman"/>
          <w:snapToGrid w:val="0"/>
          <w:color w:val="FF0000"/>
          <w:spacing w:val="-113"/>
          <w:sz w:val="128"/>
          <w:szCs w:val="128"/>
          <w:highlight w:val="none"/>
          <w:u w:val="none"/>
          <w:lang w:bidi="ar"/>
        </w:rPr>
      </w:pPr>
      <w:r>
        <w:rPr>
          <w:rFonts w:hint="eastAsia" w:ascii="Times New Roman" w:hAnsi="Times New Roman" w:eastAsia="华文新魏" w:cs="Times New Roman"/>
          <w:snapToGrid w:val="0"/>
          <w:color w:val="FF0000"/>
          <w:spacing w:val="-113"/>
          <w:sz w:val="128"/>
          <w:szCs w:val="128"/>
          <w:highlight w:val="none"/>
          <w:u w:val="none"/>
          <w:lang w:bidi="ar"/>
        </w:rPr>
        <w:t>营商环境工作动态</w:t>
      </w:r>
    </w:p>
    <w:p>
      <w:pPr>
        <w:pStyle w:val="12"/>
        <w:shd w:val="clear"/>
        <w:spacing w:beforeAutospacing="0" w:afterAutospacing="0" w:line="480" w:lineRule="auto"/>
        <w:ind w:firstLine="480" w:firstLineChars="200"/>
        <w:jc w:val="both"/>
        <w:rPr>
          <w:rFonts w:hint="default" w:ascii="Times New Roman" w:hAnsi="Times New Roman" w:eastAsia="仿宋_GB2312" w:cs="Times New Roman"/>
          <w:color w:val="auto"/>
          <w:highlight w:val="none"/>
          <w:u w:val="none"/>
        </w:rPr>
      </w:pPr>
    </w:p>
    <w:p>
      <w:pPr>
        <w:pStyle w:val="12"/>
        <w:shd w:val="clear"/>
        <w:spacing w:beforeAutospacing="0" w:afterAutospacing="0" w:line="360" w:lineRule="auto"/>
        <w:ind w:left="130" w:right="266"/>
        <w:jc w:val="center"/>
        <w:outlineLvl w:val="0"/>
        <w:rPr>
          <w:rFonts w:hint="default" w:ascii="Times New Roman" w:hAnsi="Times New Roman" w:eastAsia="仿宋_GB2312" w:cs="Times New Roman"/>
          <w:color w:val="auto"/>
          <w:spacing w:val="40"/>
          <w:sz w:val="32"/>
          <w:szCs w:val="32"/>
          <w:highlight w:val="none"/>
          <w:u w:val="none"/>
          <w:lang w:val="en-US" w:eastAsia="zh-CN"/>
        </w:rPr>
      </w:pPr>
      <w:r>
        <w:rPr>
          <w:rFonts w:hint="default" w:ascii="Times New Roman" w:hAnsi="Times New Roman" w:eastAsia="仿宋_GB2312" w:cs="Times New Roman"/>
          <w:color w:val="auto"/>
          <w:spacing w:val="40"/>
          <w:sz w:val="32"/>
          <w:szCs w:val="32"/>
          <w:highlight w:val="none"/>
          <w:u w:val="none"/>
          <w:lang w:eastAsia="zh-CN" w:bidi="ar"/>
        </w:rPr>
        <w:t>第</w:t>
      </w:r>
      <w:r>
        <w:rPr>
          <w:rFonts w:hint="eastAsia" w:ascii="Times New Roman" w:hAnsi="Times New Roman" w:eastAsia="仿宋_GB2312" w:cs="Times New Roman"/>
          <w:color w:val="auto"/>
          <w:spacing w:val="40"/>
          <w:sz w:val="32"/>
          <w:szCs w:val="32"/>
          <w:highlight w:val="none"/>
          <w:u w:val="none"/>
          <w:lang w:val="en-US" w:eastAsia="zh-CN" w:bidi="ar"/>
        </w:rPr>
        <w:t>108</w:t>
      </w:r>
      <w:r>
        <w:rPr>
          <w:rFonts w:hint="default" w:ascii="Times New Roman" w:hAnsi="Times New Roman" w:eastAsia="仿宋_GB2312" w:cs="Times New Roman"/>
          <w:color w:val="auto"/>
          <w:spacing w:val="40"/>
          <w:sz w:val="32"/>
          <w:szCs w:val="32"/>
          <w:highlight w:val="none"/>
          <w:u w:val="none"/>
          <w:lang w:bidi="ar"/>
        </w:rPr>
        <w:t>期</w:t>
      </w:r>
    </w:p>
    <w:p>
      <w:pPr>
        <w:pStyle w:val="12"/>
        <w:shd w:val="clear"/>
        <w:spacing w:beforeAutospacing="0" w:after="120" w:afterAutospacing="0" w:line="360" w:lineRule="auto"/>
        <w:ind w:left="130" w:right="266"/>
        <w:jc w:val="both"/>
        <w:rPr>
          <w:rFonts w:hint="default" w:ascii="Times New Roman" w:hAnsi="Times New Roman" w:eastAsia="仿宋_GB2312" w:cs="Times New Roman"/>
          <w:color w:val="auto"/>
          <w:highlight w:val="none"/>
          <w:u w:val="none"/>
        </w:rPr>
      </w:pPr>
      <w:r>
        <w:rPr>
          <w:rFonts w:hint="default" w:ascii="Times New Roman" w:hAnsi="Times New Roman" w:eastAsia="仿宋_GB2312" w:cs="Times New Roman"/>
          <w:color w:val="auto"/>
          <w:sz w:val="22"/>
          <w:highlight w:val="none"/>
          <w:u w:val="none"/>
          <w:lang w:bidi="ar"/>
        </w:rPr>
        <mc:AlternateContent>
          <mc:Choice Requires="wps">
            <w:drawing>
              <wp:anchor distT="0" distB="0" distL="114300" distR="114300" simplePos="0" relativeHeight="251661312" behindDoc="0" locked="0" layoutInCell="1" allowOverlap="1">
                <wp:simplePos x="0" y="0"/>
                <wp:positionH relativeFrom="column">
                  <wp:posOffset>-12065</wp:posOffset>
                </wp:positionH>
                <wp:positionV relativeFrom="paragraph">
                  <wp:posOffset>292100</wp:posOffset>
                </wp:positionV>
                <wp:extent cx="5468620" cy="23495"/>
                <wp:effectExtent l="0" t="9525" r="17780" b="24130"/>
                <wp:wrapNone/>
                <wp:docPr id="2" name="直接连接符 2"/>
                <wp:cNvGraphicFramePr/>
                <a:graphic xmlns:a="http://schemas.openxmlformats.org/drawingml/2006/main">
                  <a:graphicData uri="http://schemas.microsoft.com/office/word/2010/wordprocessingShape">
                    <wps:wsp>
                      <wps:cNvCnPr/>
                      <wps:spPr>
                        <a:xfrm flipV="1">
                          <a:off x="0" y="0"/>
                          <a:ext cx="5468620" cy="23495"/>
                        </a:xfrm>
                        <a:prstGeom prst="line">
                          <a:avLst/>
                        </a:prstGeom>
                        <a:ln w="19050" cap="flat" cmpd="sng">
                          <a:solidFill>
                            <a:srgbClr val="FF0000"/>
                          </a:solidFill>
                          <a:prstDash val="solid"/>
                          <a:miter/>
                          <a:headEnd type="none" w="med" len="med"/>
                          <a:tailEnd type="none" w="med" len="med"/>
                        </a:ln>
                      </wps:spPr>
                      <wps:bodyPr/>
                    </wps:wsp>
                  </a:graphicData>
                </a:graphic>
              </wp:anchor>
            </w:drawing>
          </mc:Choice>
          <mc:Fallback>
            <w:pict>
              <v:line id="_x0000_s1026" o:spid="_x0000_s1026" o:spt="20" style="position:absolute;left:0pt;flip:y;margin-left:-0.95pt;margin-top:23pt;height:1.85pt;width:430.6pt;z-index:251661312;mso-width-relative:page;mso-height-relative:page;" filled="f" stroked="t" coordsize="21600,21600" o:gfxdata="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CQJAVa2QAAAAgBAAAPAAAA&#10;AAAAAAEAIAAAADgAAABkcnMvZG93bnJldi54bWxQSwECFAAUAAAACACHTuJAY8dJQ/4BAADxAwAA&#10;DgAAAAAAAAABACAAAAA+AQAAZHJzL2Uyb0RvYy54bWxQSwUGAAAAAAYABgBZAQAArgUAAAAA&#10;">
                <v:fill on="f" focussize="0,0"/>
                <v:stroke weight="1.5pt" color="#FF0000" joinstyle="miter"/>
                <v:imagedata o:title=""/>
                <o:lock v:ext="edit" aspectratio="f"/>
              </v:line>
            </w:pict>
          </mc:Fallback>
        </mc:AlternateContent>
      </w:r>
      <w:r>
        <w:rPr>
          <w:rFonts w:hint="default" w:ascii="Times New Roman" w:hAnsi="Times New Roman" w:eastAsia="仿宋_GB2312" w:cs="Times New Roman"/>
          <w:color w:val="auto"/>
          <w:spacing w:val="-20"/>
          <w:sz w:val="32"/>
          <w:szCs w:val="32"/>
          <w:highlight w:val="none"/>
          <w:u w:val="none"/>
          <w:lang w:bidi="ar"/>
        </w:rPr>
        <w:t>红旗区优化营商环境</w:t>
      </w:r>
      <w:r>
        <w:rPr>
          <w:rFonts w:hint="default" w:ascii="Times New Roman" w:hAnsi="Times New Roman" w:eastAsia="仿宋_GB2312" w:cs="Times New Roman"/>
          <w:color w:val="auto"/>
          <w:spacing w:val="-20"/>
          <w:sz w:val="32"/>
          <w:szCs w:val="32"/>
          <w:highlight w:val="none"/>
          <w:u w:val="none"/>
          <w:lang w:val="en-US" w:eastAsia="zh-CN" w:bidi="ar"/>
        </w:rPr>
        <w:t>服务中心</w:t>
      </w:r>
      <w:r>
        <w:rPr>
          <w:rFonts w:hint="default" w:ascii="Times New Roman" w:hAnsi="Times New Roman" w:eastAsia="仿宋_GB2312" w:cs="Times New Roman"/>
          <w:color w:val="auto"/>
          <w:sz w:val="32"/>
          <w:szCs w:val="32"/>
          <w:highlight w:val="none"/>
          <w:u w:val="none"/>
          <w:lang w:bidi="ar"/>
        </w:rPr>
        <w:t xml:space="preserve">    </w:t>
      </w:r>
      <w:r>
        <w:rPr>
          <w:rFonts w:hint="default" w:ascii="Times New Roman" w:hAnsi="Times New Roman" w:eastAsia="仿宋_GB2312" w:cs="Times New Roman"/>
          <w:color w:val="auto"/>
          <w:sz w:val="32"/>
          <w:szCs w:val="32"/>
          <w:highlight w:val="none"/>
          <w:u w:val="none"/>
          <w:lang w:val="en-US" w:eastAsia="zh-CN" w:bidi="ar"/>
        </w:rPr>
        <w:t xml:space="preserve">         </w:t>
      </w:r>
      <w:r>
        <w:rPr>
          <w:rFonts w:hint="eastAsia" w:ascii="Times New Roman" w:hAnsi="Times New Roman" w:eastAsia="仿宋_GB2312" w:cs="Times New Roman"/>
          <w:color w:val="auto"/>
          <w:sz w:val="32"/>
          <w:szCs w:val="32"/>
          <w:highlight w:val="none"/>
          <w:u w:val="none"/>
          <w:lang w:val="en-US" w:eastAsia="zh-CN" w:bidi="ar"/>
        </w:rPr>
        <w:t>20</w:t>
      </w:r>
      <w:r>
        <w:rPr>
          <w:rFonts w:hint="eastAsia" w:ascii="Times New Roman" w:hAnsi="Times New Roman" w:eastAsia="仿宋_GB2312" w:cs="Times New Roman"/>
          <w:color w:val="auto"/>
          <w:spacing w:val="40"/>
          <w:sz w:val="32"/>
          <w:szCs w:val="32"/>
          <w:highlight w:val="none"/>
          <w:u w:val="none"/>
          <w:lang w:val="en-US" w:eastAsia="zh-CN" w:bidi="ar"/>
        </w:rPr>
        <w:t>25</w:t>
      </w:r>
      <w:r>
        <w:rPr>
          <w:rFonts w:hint="default" w:ascii="Times New Roman" w:hAnsi="Times New Roman" w:eastAsia="仿宋_GB2312" w:cs="Times New Roman"/>
          <w:color w:val="auto"/>
          <w:spacing w:val="20"/>
          <w:sz w:val="32"/>
          <w:szCs w:val="32"/>
          <w:highlight w:val="none"/>
          <w:u w:val="none"/>
          <w:lang w:bidi="ar"/>
        </w:rPr>
        <w:t>年</w:t>
      </w:r>
      <w:r>
        <w:rPr>
          <w:rFonts w:hint="default" w:ascii="Times New Roman" w:hAnsi="Times New Roman" w:eastAsia="仿宋_GB2312" w:cs="Times New Roman"/>
          <w:color w:val="auto"/>
          <w:spacing w:val="20"/>
          <w:sz w:val="32"/>
          <w:szCs w:val="32"/>
          <w:highlight w:val="none"/>
          <w:u w:val="none"/>
          <w:lang w:val="en-US" w:bidi="ar"/>
        </w:rPr>
        <w:t>5</w:t>
      </w:r>
      <w:r>
        <w:rPr>
          <w:rFonts w:hint="default" w:ascii="Times New Roman" w:hAnsi="Times New Roman" w:eastAsia="仿宋_GB2312" w:cs="Times New Roman"/>
          <w:color w:val="auto"/>
          <w:spacing w:val="20"/>
          <w:sz w:val="32"/>
          <w:szCs w:val="32"/>
          <w:highlight w:val="none"/>
          <w:u w:val="none"/>
          <w:lang w:bidi="ar"/>
        </w:rPr>
        <w:t>月</w:t>
      </w:r>
      <w:r>
        <w:rPr>
          <w:rFonts w:hint="eastAsia" w:ascii="Times New Roman" w:hAnsi="Times New Roman" w:eastAsia="仿宋_GB2312" w:cs="Times New Roman"/>
          <w:color w:val="auto"/>
          <w:spacing w:val="20"/>
          <w:sz w:val="32"/>
          <w:szCs w:val="32"/>
          <w:highlight w:val="none"/>
          <w:u w:val="none"/>
          <w:lang w:val="en-US" w:eastAsia="zh-CN" w:bidi="ar"/>
        </w:rPr>
        <w:t>14</w:t>
      </w:r>
      <w:r>
        <w:rPr>
          <w:rFonts w:hint="default" w:ascii="Times New Roman" w:hAnsi="Times New Roman" w:eastAsia="仿宋_GB2312" w:cs="Times New Roman"/>
          <w:color w:val="auto"/>
          <w:spacing w:val="20"/>
          <w:sz w:val="32"/>
          <w:szCs w:val="32"/>
          <w:highlight w:val="none"/>
          <w:u w:val="none"/>
          <w:lang w:bidi="ar"/>
        </w:rPr>
        <w:t>日</w:t>
      </w:r>
    </w:p>
    <w:bookmarkEnd w:id="0"/>
    <w:p>
      <w:pPr>
        <w:pStyle w:val="12"/>
        <w:shd w:val="clear"/>
        <w:spacing w:beforeAutospacing="0" w:afterAutospacing="0"/>
        <w:ind w:left="130" w:right="266"/>
        <w:jc w:val="both"/>
        <w:rPr>
          <w:rFonts w:hint="default" w:ascii="Times New Roman" w:hAnsi="Times New Roman" w:eastAsia="仿宋_GB2312" w:cs="Times New Roman"/>
          <w:color w:val="auto"/>
          <w:sz w:val="44"/>
          <w:szCs w:val="44"/>
          <w:highlight w:val="none"/>
          <w:u w:val="none"/>
        </w:rPr>
      </w:pPr>
    </w:p>
    <w:p>
      <w:pPr>
        <w:pStyle w:val="12"/>
        <w:shd w:val="clear"/>
        <w:spacing w:beforeAutospacing="0" w:afterAutospacing="0"/>
        <w:ind w:left="130" w:right="266"/>
        <w:jc w:val="center"/>
        <w:outlineLvl w:val="0"/>
        <w:rPr>
          <w:rFonts w:hint="default" w:ascii="Times New Roman" w:hAnsi="Times New Roman" w:eastAsia="方正小标宋简体" w:cs="Times New Roman"/>
          <w:color w:val="auto"/>
          <w:sz w:val="44"/>
          <w:szCs w:val="44"/>
          <w:highlight w:val="none"/>
          <w:u w:val="none"/>
        </w:rPr>
      </w:pPr>
      <w:r>
        <w:rPr>
          <w:rFonts w:hint="default" w:ascii="Times New Roman" w:hAnsi="Times New Roman" w:eastAsia="方正小标宋简体" w:cs="Times New Roman"/>
          <w:color w:val="auto"/>
          <w:sz w:val="44"/>
          <w:szCs w:val="44"/>
          <w:highlight w:val="none"/>
          <w:u w:val="none"/>
          <w:lang w:bidi="ar"/>
        </w:rPr>
        <w:t>红旗区优化营商环境信息周报</w:t>
      </w:r>
    </w:p>
    <w:p>
      <w:pPr>
        <w:pStyle w:val="12"/>
        <w:shd w:val="clear"/>
        <w:spacing w:before="56" w:beforeAutospacing="0" w:after="120" w:afterAutospacing="0"/>
        <w:ind w:left="128" w:right="267"/>
        <w:jc w:val="center"/>
        <w:rPr>
          <w:rFonts w:hint="default" w:ascii="Times New Roman" w:hAnsi="Times New Roman" w:eastAsia="仿宋_GB2312" w:cs="Times New Roman"/>
          <w:color w:val="auto"/>
          <w:spacing w:val="23"/>
          <w:sz w:val="32"/>
          <w:szCs w:val="32"/>
          <w:highlight w:val="none"/>
          <w:u w:val="none"/>
          <w:lang w:val="en-US" w:eastAsia="zh-CN" w:bidi="ar"/>
        </w:rPr>
      </w:pPr>
      <w:r>
        <w:rPr>
          <w:rFonts w:hint="default" w:ascii="Times New Roman" w:hAnsi="Times New Roman" w:eastAsia="仿宋_GB2312" w:cs="Times New Roman"/>
          <w:color w:val="auto"/>
          <w:spacing w:val="23"/>
          <w:sz w:val="32"/>
          <w:szCs w:val="32"/>
          <w:highlight w:val="none"/>
          <w:u w:val="none"/>
          <w:lang w:val="en-US" w:eastAsia="zh-CN" w:bidi="ar"/>
        </w:rPr>
        <w:t>（</w:t>
      </w:r>
      <w:r>
        <w:rPr>
          <w:rFonts w:hint="default" w:ascii="Times New Roman" w:hAnsi="Times New Roman" w:eastAsia="仿宋_GB2312" w:cs="Times New Roman"/>
          <w:color w:val="auto"/>
          <w:spacing w:val="20"/>
          <w:sz w:val="32"/>
          <w:szCs w:val="32"/>
          <w:highlight w:val="none"/>
          <w:u w:val="none"/>
          <w:lang w:val="en-US" w:eastAsia="zh-CN" w:bidi="ar"/>
        </w:rPr>
        <w:t>202</w:t>
      </w:r>
      <w:r>
        <w:rPr>
          <w:rFonts w:hint="eastAsia" w:ascii="Times New Roman" w:hAnsi="Times New Roman" w:eastAsia="仿宋_GB2312" w:cs="Times New Roman"/>
          <w:color w:val="auto"/>
          <w:spacing w:val="20"/>
          <w:sz w:val="32"/>
          <w:szCs w:val="32"/>
          <w:highlight w:val="none"/>
          <w:u w:val="none"/>
          <w:lang w:val="en-US" w:eastAsia="zh-CN" w:bidi="ar"/>
        </w:rPr>
        <w:t>5</w:t>
      </w:r>
      <w:r>
        <w:rPr>
          <w:rFonts w:hint="default" w:ascii="Times New Roman" w:hAnsi="Times New Roman" w:eastAsia="仿宋_GB2312" w:cs="Times New Roman"/>
          <w:color w:val="auto"/>
          <w:spacing w:val="23"/>
          <w:sz w:val="32"/>
          <w:szCs w:val="32"/>
          <w:highlight w:val="none"/>
          <w:u w:val="none"/>
          <w:lang w:bidi="ar"/>
        </w:rPr>
        <w:t>年</w:t>
      </w:r>
      <w:r>
        <w:rPr>
          <w:rFonts w:hint="eastAsia" w:ascii="Times New Roman" w:hAnsi="Times New Roman" w:eastAsia="仿宋_GB2312" w:cs="Times New Roman"/>
          <w:color w:val="auto"/>
          <w:spacing w:val="23"/>
          <w:sz w:val="32"/>
          <w:szCs w:val="32"/>
          <w:highlight w:val="none"/>
          <w:u w:val="none"/>
          <w:lang w:val="en-US" w:eastAsia="zh-CN" w:bidi="ar"/>
        </w:rPr>
        <w:t>5</w:t>
      </w:r>
      <w:r>
        <w:rPr>
          <w:rFonts w:hint="default" w:ascii="Times New Roman" w:hAnsi="Times New Roman" w:eastAsia="仿宋_GB2312" w:cs="Times New Roman"/>
          <w:color w:val="auto"/>
          <w:spacing w:val="40"/>
          <w:sz w:val="32"/>
          <w:szCs w:val="32"/>
          <w:highlight w:val="none"/>
          <w:u w:val="none"/>
          <w:lang w:val="en-US" w:eastAsia="zh-CN" w:bidi="ar"/>
        </w:rPr>
        <w:t>月</w:t>
      </w:r>
      <w:r>
        <w:rPr>
          <w:rFonts w:hint="eastAsia" w:ascii="Times New Roman" w:hAnsi="Times New Roman" w:eastAsia="仿宋_GB2312" w:cs="Times New Roman"/>
          <w:color w:val="auto"/>
          <w:spacing w:val="40"/>
          <w:sz w:val="32"/>
          <w:szCs w:val="32"/>
          <w:highlight w:val="none"/>
          <w:u w:val="none"/>
          <w:lang w:val="en-US" w:eastAsia="zh-CN" w:bidi="ar"/>
        </w:rPr>
        <w:t>4</w:t>
      </w:r>
      <w:r>
        <w:rPr>
          <w:rFonts w:hint="default" w:ascii="Times New Roman" w:hAnsi="Times New Roman" w:eastAsia="仿宋_GB2312" w:cs="Times New Roman"/>
          <w:color w:val="auto"/>
          <w:spacing w:val="40"/>
          <w:sz w:val="32"/>
          <w:szCs w:val="32"/>
          <w:highlight w:val="none"/>
          <w:u w:val="none"/>
          <w:lang w:val="en-US" w:eastAsia="zh-CN" w:bidi="ar"/>
        </w:rPr>
        <w:t>日—月5</w:t>
      </w:r>
      <w:r>
        <w:rPr>
          <w:rFonts w:hint="eastAsia" w:ascii="Times New Roman" w:hAnsi="Times New Roman" w:eastAsia="仿宋_GB2312" w:cs="Times New Roman"/>
          <w:color w:val="auto"/>
          <w:spacing w:val="40"/>
          <w:sz w:val="32"/>
          <w:szCs w:val="32"/>
          <w:highlight w:val="none"/>
          <w:u w:val="none"/>
          <w:lang w:val="en-US" w:eastAsia="zh-CN" w:bidi="ar"/>
        </w:rPr>
        <w:t>月</w:t>
      </w:r>
      <w:bookmarkStart w:id="1" w:name="_GoBack"/>
      <w:bookmarkEnd w:id="1"/>
      <w:r>
        <w:rPr>
          <w:rFonts w:hint="eastAsia" w:ascii="Times New Roman" w:hAnsi="Times New Roman" w:eastAsia="仿宋_GB2312" w:cs="Times New Roman"/>
          <w:color w:val="auto"/>
          <w:spacing w:val="40"/>
          <w:sz w:val="32"/>
          <w:szCs w:val="32"/>
          <w:highlight w:val="none"/>
          <w:u w:val="none"/>
          <w:lang w:val="en-US" w:eastAsia="zh-CN" w:bidi="ar"/>
        </w:rPr>
        <w:t>10</w:t>
      </w:r>
      <w:r>
        <w:rPr>
          <w:rFonts w:hint="default" w:ascii="Times New Roman" w:hAnsi="Times New Roman" w:eastAsia="仿宋_GB2312" w:cs="Times New Roman"/>
          <w:color w:val="auto"/>
          <w:spacing w:val="40"/>
          <w:sz w:val="32"/>
          <w:szCs w:val="32"/>
          <w:highlight w:val="none"/>
          <w:u w:val="none"/>
          <w:lang w:val="en-US" w:eastAsia="zh-CN" w:bidi="ar"/>
        </w:rPr>
        <w:t>日</w:t>
      </w:r>
      <w:r>
        <w:rPr>
          <w:rFonts w:hint="default" w:ascii="Times New Roman" w:hAnsi="Times New Roman" w:eastAsia="仿宋_GB2312" w:cs="Times New Roman"/>
          <w:color w:val="auto"/>
          <w:spacing w:val="23"/>
          <w:sz w:val="32"/>
          <w:szCs w:val="32"/>
          <w:highlight w:val="none"/>
          <w:u w:val="none"/>
          <w:lang w:val="en-US" w:eastAsia="zh-CN" w:bidi="ar"/>
        </w:rPr>
        <w:t>）</w:t>
      </w:r>
    </w:p>
    <w:p>
      <w:pPr>
        <w:pStyle w:val="12"/>
        <w:shd w:val="clear"/>
        <w:spacing w:before="56" w:beforeAutospacing="0" w:after="120" w:afterAutospacing="0"/>
        <w:ind w:left="128" w:right="267"/>
        <w:jc w:val="center"/>
        <w:rPr>
          <w:rFonts w:hint="default" w:ascii="Times New Roman" w:hAnsi="Times New Roman" w:eastAsia="仿宋_GB2312" w:cs="Times New Roman"/>
          <w:color w:val="auto"/>
          <w:spacing w:val="23"/>
          <w:sz w:val="32"/>
          <w:szCs w:val="32"/>
          <w:highlight w:val="none"/>
          <w:u w:val="none"/>
          <w:lang w:val="en-US" w:eastAsia="zh-CN" w:bidi="ar"/>
        </w:rPr>
      </w:pPr>
    </w:p>
    <w:p>
      <w:pPr>
        <w:pStyle w:val="7"/>
        <w:keepNext w:val="0"/>
        <w:keepLines w:val="0"/>
        <w:pageBreakBefore w:val="0"/>
        <w:widowControl w:val="0"/>
        <w:numPr>
          <w:ilvl w:val="0"/>
          <w:numId w:val="0"/>
        </w:numPr>
        <w:shd w:val="clear"/>
        <w:kinsoku/>
        <w:wordWrap/>
        <w:topLinePunct w:val="0"/>
        <w:bidi w:val="0"/>
        <w:spacing w:beforeAutospacing="0" w:after="0" w:afterLines="0" w:afterAutospacing="0" w:line="570" w:lineRule="exact"/>
        <w:ind w:firstLine="960" w:firstLineChars="300"/>
        <w:jc w:val="left"/>
        <w:textAlignment w:val="auto"/>
        <w:outlineLvl w:val="0"/>
        <w:rPr>
          <w:rFonts w:hint="eastAsia" w:ascii="楷体_GB2312" w:hAnsi="楷体_GB2312" w:eastAsia="楷体_GB2312" w:cs="楷体_GB2312"/>
          <w:b/>
          <w:bCs/>
          <w:color w:val="auto"/>
          <w:sz w:val="32"/>
          <w:szCs w:val="32"/>
          <w:highlight w:val="none"/>
          <w:lang w:val="en-US" w:eastAsia="zh-CN" w:bidi="ar-SA"/>
        </w:rPr>
      </w:pPr>
      <w:r>
        <w:rPr>
          <w:rFonts w:hint="eastAsia" w:ascii="黑体" w:hAnsi="黑体" w:eastAsia="黑体" w:cs="黑体"/>
          <w:color w:val="auto"/>
          <w:sz w:val="32"/>
          <w:szCs w:val="32"/>
          <w:highlight w:val="none"/>
          <w:lang w:eastAsia="zh-CN"/>
        </w:rPr>
        <w:t>一、</w:t>
      </w:r>
      <w:r>
        <w:rPr>
          <w:rFonts w:hint="eastAsia" w:ascii="黑体" w:hAnsi="黑体" w:eastAsia="黑体" w:cs="黑体"/>
          <w:color w:val="auto"/>
          <w:sz w:val="32"/>
          <w:szCs w:val="32"/>
          <w:highlight w:val="none"/>
        </w:rPr>
        <w:t>重要讲话</w:t>
      </w:r>
    </w:p>
    <w:p>
      <w:pPr>
        <w:keepNext w:val="0"/>
        <w:keepLines w:val="0"/>
        <w:widowControl/>
        <w:suppressLineNumbers w:val="0"/>
        <w:ind w:firstLine="722" w:firstLineChars="200"/>
        <w:jc w:val="left"/>
        <w:rPr>
          <w:rFonts w:hint="eastAsia" w:ascii="楷体_GB2312" w:hAnsi="楷体_GB2312" w:eastAsia="楷体_GB2312" w:cs="楷体_GB2312"/>
          <w:b/>
          <w:bCs/>
          <w:i w:val="0"/>
          <w:iCs w:val="0"/>
          <w:caps w:val="0"/>
          <w:color w:val="auto"/>
          <w:spacing w:val="20"/>
          <w:sz w:val="32"/>
          <w:szCs w:val="32"/>
          <w:highlight w:val="none"/>
          <w:shd w:val="clear" w:fill="FFFFFF"/>
          <w:lang w:val="en-US" w:eastAsia="zh-CN" w:bidi="ar-SA"/>
        </w:rPr>
      </w:pPr>
      <w:r>
        <w:rPr>
          <w:rFonts w:hint="eastAsia" w:ascii="楷体_GB2312" w:hAnsi="楷体_GB2312" w:eastAsia="楷体_GB2312" w:cs="楷体_GB2312"/>
          <w:b/>
          <w:bCs/>
          <w:i w:val="0"/>
          <w:iCs w:val="0"/>
          <w:caps w:val="0"/>
          <w:color w:val="auto"/>
          <w:spacing w:val="20"/>
          <w:sz w:val="32"/>
          <w:szCs w:val="32"/>
          <w:highlight w:val="none"/>
          <w:shd w:val="clear" w:fill="FFFFFF"/>
          <w:lang w:val="en-US" w:eastAsia="zh-CN" w:bidi="ar-SA"/>
        </w:rPr>
        <w:t>（一）国务院副总理张国清到河南调研</w:t>
      </w:r>
    </w:p>
    <w:p>
      <w:pPr>
        <w:keepNext w:val="0"/>
        <w:keepLines w:val="0"/>
        <w:widowControl/>
        <w:suppressLineNumbers w:val="0"/>
        <w:ind w:firstLine="720" w:firstLineChars="200"/>
        <w:jc w:val="left"/>
        <w:rPr>
          <w:rFonts w:hint="default" w:ascii="Times New Roman" w:hAnsi="Times New Roman" w:eastAsia="仿宋_GB2312" w:cs="Times New Roman"/>
          <w:b w:val="0"/>
          <w:bCs w:val="0"/>
          <w:i w:val="0"/>
          <w:iCs w:val="0"/>
          <w:caps w:val="0"/>
          <w:color w:val="auto"/>
          <w:spacing w:val="20"/>
          <w:sz w:val="32"/>
          <w:szCs w:val="32"/>
          <w:highlight w:val="none"/>
          <w:shd w:val="clear" w:fill="FFFFFF"/>
          <w:lang w:val="en-US" w:eastAsia="zh-CN" w:bidi="ar-SA"/>
        </w:rPr>
      </w:pPr>
      <w:r>
        <w:rPr>
          <w:rFonts w:hint="default" w:ascii="Times New Roman" w:hAnsi="Times New Roman" w:eastAsia="仿宋_GB2312" w:cs="Times New Roman"/>
          <w:b w:val="0"/>
          <w:bCs w:val="0"/>
          <w:i w:val="0"/>
          <w:iCs w:val="0"/>
          <w:caps w:val="0"/>
          <w:color w:val="auto"/>
          <w:spacing w:val="20"/>
          <w:sz w:val="32"/>
          <w:szCs w:val="32"/>
          <w:highlight w:val="none"/>
          <w:shd w:val="clear" w:fill="FFFFFF"/>
          <w:lang w:val="en-US" w:eastAsia="zh-CN" w:bidi="ar-SA"/>
        </w:rPr>
        <w:t>张国清强调，市场监管在服务高质量发展、满足人民群众高品质生活需求中发挥着重要作用。要强化系统治理，聚焦突出问题抓好“一件事”全链条整治，坚持标准提升与核查处置并重，形成闭环管理。</w:t>
      </w:r>
    </w:p>
    <w:p>
      <w:pPr>
        <w:keepNext w:val="0"/>
        <w:keepLines w:val="0"/>
        <w:widowControl/>
        <w:suppressLineNumbers w:val="0"/>
        <w:ind w:firstLine="722" w:firstLineChars="200"/>
        <w:jc w:val="left"/>
        <w:rPr>
          <w:rFonts w:hint="eastAsia" w:ascii="楷体_GB2312" w:hAnsi="楷体_GB2312" w:eastAsia="楷体_GB2312" w:cs="楷体_GB2312"/>
          <w:b/>
          <w:bCs/>
          <w:i w:val="0"/>
          <w:iCs w:val="0"/>
          <w:caps w:val="0"/>
          <w:color w:val="auto"/>
          <w:spacing w:val="20"/>
          <w:sz w:val="32"/>
          <w:szCs w:val="32"/>
          <w:highlight w:val="none"/>
          <w:shd w:val="clear" w:fill="FFFFFF"/>
          <w:lang w:val="en-US" w:eastAsia="zh-CN" w:bidi="ar-SA"/>
        </w:rPr>
      </w:pPr>
      <w:r>
        <w:rPr>
          <w:rFonts w:hint="eastAsia" w:ascii="楷体_GB2312" w:hAnsi="楷体_GB2312" w:eastAsia="楷体_GB2312" w:cs="楷体_GB2312"/>
          <w:b/>
          <w:bCs/>
          <w:i w:val="0"/>
          <w:iCs w:val="0"/>
          <w:caps w:val="0"/>
          <w:color w:val="auto"/>
          <w:spacing w:val="20"/>
          <w:sz w:val="32"/>
          <w:szCs w:val="32"/>
          <w:highlight w:val="none"/>
          <w:shd w:val="clear" w:fill="FFFFFF"/>
          <w:lang w:val="en-US" w:eastAsia="zh-CN" w:bidi="ar-SA"/>
        </w:rPr>
        <w:t>(二）数字经济民营企业座谈会召开</w:t>
      </w:r>
    </w:p>
    <w:p>
      <w:pPr>
        <w:keepNext w:val="0"/>
        <w:keepLines w:val="0"/>
        <w:widowControl/>
        <w:suppressLineNumbers w:val="0"/>
        <w:ind w:firstLine="720" w:firstLineChars="200"/>
        <w:jc w:val="left"/>
        <w:rPr>
          <w:rFonts w:hint="eastAsia" w:ascii="Times New Roman" w:hAnsi="Times New Roman" w:eastAsia="仿宋_GB2312" w:cs="Times New Roman"/>
          <w:b w:val="0"/>
          <w:bCs w:val="0"/>
          <w:i w:val="0"/>
          <w:iCs w:val="0"/>
          <w:caps w:val="0"/>
          <w:color w:val="auto"/>
          <w:spacing w:val="20"/>
          <w:sz w:val="32"/>
          <w:szCs w:val="32"/>
          <w:highlight w:val="none"/>
          <w:shd w:val="clear" w:fill="FFFFFF"/>
          <w:lang w:val="en-US" w:eastAsia="zh-CN" w:bidi="ar-SA"/>
        </w:rPr>
      </w:pPr>
      <w:r>
        <w:rPr>
          <w:rFonts w:hint="eastAsia" w:ascii="Times New Roman" w:hAnsi="Times New Roman" w:eastAsia="仿宋_GB2312" w:cs="Times New Roman"/>
          <w:b w:val="0"/>
          <w:bCs w:val="0"/>
          <w:i w:val="0"/>
          <w:iCs w:val="0"/>
          <w:caps w:val="0"/>
          <w:color w:val="auto"/>
          <w:spacing w:val="20"/>
          <w:sz w:val="32"/>
          <w:szCs w:val="32"/>
          <w:highlight w:val="none"/>
          <w:shd w:val="clear" w:fill="FFFFFF"/>
          <w:lang w:val="en-US" w:eastAsia="zh-CN" w:bidi="ar-SA"/>
        </w:rPr>
        <w:t>国家发展改革委党组成员、国家数据局局长刘烈宏在第八届数字中国建设峰会期间主持召开数字经济民营企业座谈会，邀请腾讯公司、京东集团、蚂蚁集团、快手公司、拼多多、奇安信、满帮物流、科大讯飞、新希望、北京中数睿智、广东芬尼、易控智驾、南威软件、福建品尚征信等企业参会，听取近期企业发展情况介绍，分析研判经济发展形势，围绕促进数字经济高质量发展听取意见建议。</w:t>
      </w:r>
    </w:p>
    <w:p>
      <w:pPr>
        <w:keepNext w:val="0"/>
        <w:keepLines w:val="0"/>
        <w:widowControl/>
        <w:suppressLineNumbers w:val="0"/>
        <w:ind w:firstLine="722" w:firstLineChars="200"/>
        <w:jc w:val="left"/>
        <w:rPr>
          <w:rFonts w:hint="eastAsia" w:ascii="楷体_GB2312" w:hAnsi="楷体_GB2312" w:eastAsia="楷体_GB2312" w:cs="楷体_GB2312"/>
          <w:b/>
          <w:bCs/>
          <w:i w:val="0"/>
          <w:iCs w:val="0"/>
          <w:caps w:val="0"/>
          <w:color w:val="auto"/>
          <w:spacing w:val="20"/>
          <w:sz w:val="32"/>
          <w:szCs w:val="32"/>
          <w:highlight w:val="none"/>
          <w:shd w:val="clear" w:fill="FFFFFF"/>
          <w:lang w:val="en-US" w:eastAsia="zh-CN" w:bidi="ar-SA"/>
        </w:rPr>
      </w:pPr>
      <w:r>
        <w:rPr>
          <w:rFonts w:hint="eastAsia" w:ascii="楷体_GB2312" w:hAnsi="楷体_GB2312" w:eastAsia="楷体_GB2312" w:cs="楷体_GB2312"/>
          <w:b/>
          <w:bCs/>
          <w:i w:val="0"/>
          <w:iCs w:val="0"/>
          <w:caps w:val="0"/>
          <w:color w:val="auto"/>
          <w:spacing w:val="20"/>
          <w:sz w:val="32"/>
          <w:szCs w:val="32"/>
          <w:highlight w:val="none"/>
          <w:shd w:val="clear" w:fill="FFFFFF"/>
          <w:lang w:val="en-US" w:eastAsia="zh-CN" w:bidi="ar-SA"/>
        </w:rPr>
        <w:t>（三）河南省发展改革委党组成员、副主任万战伟赴洛阳开展外向型民营企业调研并召开座谈会</w:t>
      </w:r>
    </w:p>
    <w:p>
      <w:pPr>
        <w:keepNext w:val="0"/>
        <w:keepLines w:val="0"/>
        <w:widowControl/>
        <w:suppressLineNumbers w:val="0"/>
        <w:ind w:firstLine="720" w:firstLineChars="200"/>
        <w:jc w:val="left"/>
        <w:rPr>
          <w:rFonts w:hint="eastAsia" w:ascii="Times New Roman" w:hAnsi="Times New Roman" w:eastAsia="仿宋_GB2312" w:cs="Times New Roman"/>
          <w:b w:val="0"/>
          <w:bCs w:val="0"/>
          <w:i w:val="0"/>
          <w:iCs w:val="0"/>
          <w:caps w:val="0"/>
          <w:color w:val="auto"/>
          <w:spacing w:val="20"/>
          <w:sz w:val="32"/>
          <w:szCs w:val="32"/>
          <w:highlight w:val="none"/>
          <w:shd w:val="clear" w:fill="FFFFFF"/>
          <w:lang w:val="en-US" w:eastAsia="zh-CN" w:bidi="ar-SA"/>
        </w:rPr>
      </w:pPr>
      <w:r>
        <w:rPr>
          <w:rFonts w:hint="eastAsia" w:ascii="Times New Roman" w:hAnsi="Times New Roman" w:eastAsia="仿宋_GB2312" w:cs="Times New Roman"/>
          <w:b w:val="0"/>
          <w:bCs w:val="0"/>
          <w:i w:val="0"/>
          <w:iCs w:val="0"/>
          <w:caps w:val="0"/>
          <w:color w:val="auto"/>
          <w:spacing w:val="20"/>
          <w:sz w:val="32"/>
          <w:szCs w:val="32"/>
          <w:highlight w:val="none"/>
          <w:shd w:val="clear" w:fill="FFFFFF"/>
          <w:lang w:val="en-US" w:eastAsia="zh-CN" w:bidi="ar-SA"/>
        </w:rPr>
        <w:t>万战伟在与企业座谈时指出，希望各位企业家坚定信心、发挥优势、灵活应对，以掌握核心技术、创新产品服务、提升市场竞争力的高质量发展确定性应对外部环境急剧变化的不确定性。下一步，省发展改革委将充分发挥民营经济工作领导小组办公室作用，加强政企常态化沟通交流，积极为民营企业纾难解困，促进民营经济高质量发展。</w:t>
      </w:r>
    </w:p>
    <w:p>
      <w:pPr>
        <w:pStyle w:val="7"/>
        <w:keepNext w:val="0"/>
        <w:keepLines w:val="0"/>
        <w:pageBreakBefore w:val="0"/>
        <w:widowControl w:val="0"/>
        <w:numPr>
          <w:ilvl w:val="0"/>
          <w:numId w:val="0"/>
        </w:numPr>
        <w:shd w:val="clear"/>
        <w:kinsoku/>
        <w:wordWrap/>
        <w:topLinePunct w:val="0"/>
        <w:bidi w:val="0"/>
        <w:spacing w:beforeAutospacing="0" w:after="0" w:afterLines="0" w:afterAutospacing="0" w:line="570" w:lineRule="exact"/>
        <w:jc w:val="left"/>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      二、重要政策</w:t>
      </w:r>
    </w:p>
    <w:p>
      <w:pPr>
        <w:keepNext w:val="0"/>
        <w:keepLines w:val="0"/>
        <w:pageBreakBefore w:val="0"/>
        <w:widowControl/>
        <w:suppressLineNumbers w:val="0"/>
        <w:kinsoku/>
        <w:wordWrap/>
        <w:overflowPunct/>
        <w:topLinePunct w:val="0"/>
        <w:autoSpaceDE w:val="0"/>
        <w:autoSpaceDN w:val="0"/>
        <w:bidi w:val="0"/>
        <w:adjustRightInd/>
        <w:snapToGrid/>
        <w:spacing w:line="570" w:lineRule="exact"/>
        <w:ind w:firstLine="722" w:firstLineChars="200"/>
        <w:jc w:val="both"/>
        <w:textAlignment w:val="auto"/>
        <w:rPr>
          <w:rFonts w:hint="eastAsia" w:ascii="楷体_GB2312" w:hAnsi="楷体_GB2312" w:eastAsia="楷体_GB2312" w:cs="楷体_GB2312"/>
          <w:b/>
          <w:bCs/>
          <w:i w:val="0"/>
          <w:iCs w:val="0"/>
          <w:caps w:val="0"/>
          <w:color w:val="auto"/>
          <w:spacing w:val="20"/>
          <w:sz w:val="32"/>
          <w:szCs w:val="32"/>
          <w:highlight w:val="none"/>
          <w:shd w:val="clear" w:fill="FFFFFF"/>
          <w:lang w:val="en-US" w:eastAsia="zh-CN" w:bidi="ar-SA"/>
        </w:rPr>
      </w:pPr>
      <w:r>
        <w:rPr>
          <w:rFonts w:hint="eastAsia" w:ascii="楷体_GB2312" w:hAnsi="楷体_GB2312" w:eastAsia="楷体_GB2312" w:cs="楷体_GB2312"/>
          <w:b/>
          <w:bCs/>
          <w:i w:val="0"/>
          <w:iCs w:val="0"/>
          <w:caps w:val="0"/>
          <w:color w:val="auto"/>
          <w:spacing w:val="20"/>
          <w:sz w:val="32"/>
          <w:szCs w:val="32"/>
          <w:highlight w:val="none"/>
          <w:shd w:val="clear" w:fill="FFFFFF"/>
          <w:lang w:val="en-US" w:eastAsia="zh-CN" w:bidi="ar-SA"/>
        </w:rPr>
        <w:t>（一）国家发改委等四部门：健全涉企收费目录清单制度有关工作</w:t>
      </w:r>
    </w:p>
    <w:p>
      <w:pPr>
        <w:keepNext w:val="0"/>
        <w:keepLines w:val="0"/>
        <w:pageBreakBefore w:val="0"/>
        <w:widowControl/>
        <w:suppressLineNumbers w:val="0"/>
        <w:kinsoku/>
        <w:wordWrap/>
        <w:overflowPunct/>
        <w:topLinePunct w:val="0"/>
        <w:autoSpaceDE w:val="0"/>
        <w:autoSpaceDN w:val="0"/>
        <w:bidi w:val="0"/>
        <w:adjustRightInd/>
        <w:snapToGrid/>
        <w:spacing w:line="570" w:lineRule="exact"/>
        <w:ind w:firstLine="720" w:firstLineChars="200"/>
        <w:jc w:val="both"/>
        <w:textAlignment w:val="auto"/>
        <w:rPr>
          <w:rFonts w:hint="eastAsia" w:ascii="Times New Roman" w:hAnsi="Times New Roman" w:eastAsia="仿宋_GB2312" w:cs="Times New Roman"/>
          <w:b w:val="0"/>
          <w:bCs w:val="0"/>
          <w:i w:val="0"/>
          <w:iCs w:val="0"/>
          <w:caps w:val="0"/>
          <w:color w:val="auto"/>
          <w:spacing w:val="20"/>
          <w:sz w:val="32"/>
          <w:szCs w:val="32"/>
          <w:highlight w:val="none"/>
          <w:shd w:val="clear" w:fill="FFFFFF"/>
          <w:lang w:val="en-US" w:eastAsia="zh-CN" w:bidi="ar-SA"/>
        </w:rPr>
      </w:pPr>
      <w:r>
        <w:rPr>
          <w:rFonts w:hint="eastAsia" w:ascii="Times New Roman" w:hAnsi="Times New Roman" w:eastAsia="仿宋_GB2312" w:cs="Times New Roman"/>
          <w:b w:val="0"/>
          <w:bCs w:val="0"/>
          <w:i w:val="0"/>
          <w:iCs w:val="0"/>
          <w:caps w:val="0"/>
          <w:color w:val="auto"/>
          <w:spacing w:val="20"/>
          <w:sz w:val="32"/>
          <w:szCs w:val="32"/>
          <w:highlight w:val="none"/>
          <w:shd w:val="clear" w:fill="FFFFFF"/>
          <w:lang w:val="en-US" w:eastAsia="zh-CN" w:bidi="ar-SA"/>
        </w:rPr>
        <w:t>各部门要严格对照法律法规和相关政策要求，对涉企收费项目进行充分评估论证，建立涵盖部门及下属单位本级所有涉企收费项目的综合性目录清单，包括：行政事业性收费、政府性基金、涉企保证金、政府定价的经营服务性收费、实行市场调节价的经营服务性收费。</w:t>
      </w:r>
    </w:p>
    <w:p>
      <w:pPr>
        <w:keepNext w:val="0"/>
        <w:keepLines w:val="0"/>
        <w:pageBreakBefore w:val="0"/>
        <w:widowControl/>
        <w:suppressLineNumbers w:val="0"/>
        <w:kinsoku/>
        <w:wordWrap/>
        <w:overflowPunct/>
        <w:topLinePunct w:val="0"/>
        <w:autoSpaceDE w:val="0"/>
        <w:autoSpaceDN w:val="0"/>
        <w:bidi w:val="0"/>
        <w:adjustRightInd/>
        <w:snapToGrid/>
        <w:spacing w:line="570" w:lineRule="exact"/>
        <w:ind w:firstLine="722" w:firstLineChars="200"/>
        <w:jc w:val="left"/>
        <w:textAlignment w:val="auto"/>
        <w:rPr>
          <w:rFonts w:hint="eastAsia" w:ascii="楷体_GB2312" w:hAnsi="楷体_GB2312" w:eastAsia="楷体_GB2312" w:cs="楷体_GB2312"/>
          <w:b/>
          <w:bCs/>
          <w:i w:val="0"/>
          <w:iCs w:val="0"/>
          <w:caps w:val="0"/>
          <w:color w:val="auto"/>
          <w:spacing w:val="20"/>
          <w:sz w:val="32"/>
          <w:szCs w:val="32"/>
          <w:highlight w:val="none"/>
          <w:shd w:val="clear" w:fill="FFFFFF"/>
          <w:lang w:val="en-US" w:eastAsia="zh-CN" w:bidi="ar-SA"/>
        </w:rPr>
      </w:pPr>
      <w:r>
        <w:rPr>
          <w:rFonts w:hint="eastAsia" w:ascii="楷体_GB2312" w:hAnsi="楷体_GB2312" w:eastAsia="楷体_GB2312" w:cs="楷体_GB2312"/>
          <w:b/>
          <w:bCs/>
          <w:i w:val="0"/>
          <w:iCs w:val="0"/>
          <w:caps w:val="0"/>
          <w:color w:val="auto"/>
          <w:spacing w:val="20"/>
          <w:sz w:val="32"/>
          <w:szCs w:val="32"/>
          <w:highlight w:val="none"/>
          <w:shd w:val="clear" w:fill="FFFFFF"/>
          <w:lang w:val="en-US" w:eastAsia="zh-CN" w:bidi="ar-SA"/>
        </w:rPr>
        <w:t>（二）河南省政府办公厅印发《河南省支持企业“小升规”若干措施》</w:t>
      </w:r>
    </w:p>
    <w:p>
      <w:pPr>
        <w:keepNext w:val="0"/>
        <w:keepLines w:val="0"/>
        <w:pageBreakBefore w:val="0"/>
        <w:widowControl/>
        <w:suppressLineNumbers w:val="0"/>
        <w:kinsoku/>
        <w:wordWrap/>
        <w:overflowPunct/>
        <w:topLinePunct w:val="0"/>
        <w:autoSpaceDE w:val="0"/>
        <w:autoSpaceDN w:val="0"/>
        <w:bidi w:val="0"/>
        <w:adjustRightInd/>
        <w:snapToGrid/>
        <w:spacing w:line="570" w:lineRule="exact"/>
        <w:ind w:firstLine="720" w:firstLineChars="200"/>
        <w:jc w:val="left"/>
        <w:textAlignment w:val="auto"/>
        <w:rPr>
          <w:rFonts w:hint="eastAsia" w:ascii="Times New Roman" w:hAnsi="Times New Roman" w:eastAsia="仿宋_GB2312" w:cs="Times New Roman"/>
          <w:b w:val="0"/>
          <w:bCs w:val="0"/>
          <w:i w:val="0"/>
          <w:iCs w:val="0"/>
          <w:caps w:val="0"/>
          <w:color w:val="auto"/>
          <w:spacing w:val="20"/>
          <w:sz w:val="32"/>
          <w:szCs w:val="32"/>
          <w:highlight w:val="none"/>
          <w:shd w:val="clear" w:fill="FFFFFF"/>
          <w:lang w:val="en-US" w:eastAsia="zh-CN" w:bidi="ar-SA"/>
        </w:rPr>
      </w:pPr>
      <w:r>
        <w:rPr>
          <w:rFonts w:hint="eastAsia" w:ascii="Times New Roman" w:hAnsi="Times New Roman" w:eastAsia="仿宋_GB2312" w:cs="Times New Roman"/>
          <w:b w:val="0"/>
          <w:bCs w:val="0"/>
          <w:i w:val="0"/>
          <w:iCs w:val="0"/>
          <w:caps w:val="0"/>
          <w:color w:val="auto"/>
          <w:spacing w:val="20"/>
          <w:sz w:val="32"/>
          <w:szCs w:val="32"/>
          <w:highlight w:val="none"/>
          <w:shd w:val="clear" w:fill="FFFFFF"/>
          <w:lang w:val="en-US" w:eastAsia="zh-CN" w:bidi="ar-SA"/>
        </w:rPr>
        <w:t>在企业培育、企业服务、激励奖补、创新发展等七方面提出21条举措，进一步促进河南省小微企业转型升级为规模以上企业，推动小微企业提质发展。</w:t>
      </w:r>
    </w:p>
    <w:p>
      <w:pPr>
        <w:keepNext w:val="0"/>
        <w:keepLines w:val="0"/>
        <w:pageBreakBefore w:val="0"/>
        <w:widowControl/>
        <w:suppressLineNumbers w:val="0"/>
        <w:kinsoku/>
        <w:wordWrap/>
        <w:overflowPunct/>
        <w:topLinePunct w:val="0"/>
        <w:autoSpaceDE w:val="0"/>
        <w:autoSpaceDN w:val="0"/>
        <w:bidi w:val="0"/>
        <w:adjustRightInd/>
        <w:snapToGrid/>
        <w:spacing w:line="570" w:lineRule="exact"/>
        <w:ind w:firstLine="960" w:firstLineChars="300"/>
        <w:jc w:val="left"/>
        <w:textAlignment w:val="auto"/>
        <w:rPr>
          <w:rFonts w:ascii="sans-serif" w:hAnsi="sans-serif" w:eastAsia="sans-serif" w:cs="sans-serif"/>
          <w:i w:val="0"/>
          <w:iCs w:val="0"/>
          <w:caps w:val="0"/>
          <w:spacing w:val="0"/>
          <w:sz w:val="33"/>
          <w:szCs w:val="33"/>
          <w:highlight w:val="none"/>
        </w:rPr>
      </w:pP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营商大事件</w:t>
      </w:r>
    </w:p>
    <w:p>
      <w:pPr>
        <w:keepNext w:val="0"/>
        <w:keepLines w:val="0"/>
        <w:pageBreakBefore w:val="0"/>
        <w:widowControl/>
        <w:suppressLineNumbers w:val="0"/>
        <w:kinsoku/>
        <w:wordWrap/>
        <w:overflowPunct/>
        <w:topLinePunct w:val="0"/>
        <w:autoSpaceDE w:val="0"/>
        <w:autoSpaceDN w:val="0"/>
        <w:bidi w:val="0"/>
        <w:adjustRightInd/>
        <w:snapToGrid/>
        <w:spacing w:line="570" w:lineRule="exact"/>
        <w:ind w:firstLine="722" w:firstLineChars="200"/>
        <w:jc w:val="left"/>
        <w:textAlignment w:val="auto"/>
        <w:rPr>
          <w:rFonts w:hint="eastAsia" w:ascii="楷体_GB2312" w:hAnsi="楷体_GB2312" w:eastAsia="楷体_GB2312" w:cs="楷体_GB2312"/>
          <w:b/>
          <w:bCs/>
          <w:i w:val="0"/>
          <w:iCs w:val="0"/>
          <w:caps w:val="0"/>
          <w:color w:val="auto"/>
          <w:spacing w:val="20"/>
          <w:sz w:val="32"/>
          <w:szCs w:val="32"/>
          <w:highlight w:val="none"/>
          <w:shd w:val="clear" w:fill="FFFFFF"/>
          <w:lang w:val="en-US" w:eastAsia="zh-CN" w:bidi="ar-SA"/>
        </w:rPr>
      </w:pPr>
      <w:r>
        <w:rPr>
          <w:rFonts w:hint="eastAsia" w:ascii="楷体_GB2312" w:hAnsi="楷体_GB2312" w:eastAsia="楷体_GB2312" w:cs="楷体_GB2312"/>
          <w:b/>
          <w:bCs/>
          <w:i w:val="0"/>
          <w:iCs w:val="0"/>
          <w:caps w:val="0"/>
          <w:color w:val="auto"/>
          <w:spacing w:val="20"/>
          <w:sz w:val="32"/>
          <w:szCs w:val="32"/>
          <w:highlight w:val="none"/>
          <w:shd w:val="clear" w:fill="FFFFFF"/>
          <w:lang w:val="en-US" w:eastAsia="zh-CN" w:bidi="ar-SA"/>
        </w:rPr>
        <w:t>（一）《市场准入负面清单（2025年版）》发布</w:t>
      </w:r>
    </w:p>
    <w:p>
      <w:pPr>
        <w:keepNext w:val="0"/>
        <w:keepLines w:val="0"/>
        <w:pageBreakBefore w:val="0"/>
        <w:widowControl/>
        <w:suppressLineNumbers w:val="0"/>
        <w:kinsoku/>
        <w:wordWrap/>
        <w:overflowPunct/>
        <w:topLinePunct w:val="0"/>
        <w:autoSpaceDE w:val="0"/>
        <w:autoSpaceDN w:val="0"/>
        <w:bidi w:val="0"/>
        <w:adjustRightInd/>
        <w:snapToGrid/>
        <w:spacing w:line="570" w:lineRule="exact"/>
        <w:ind w:firstLine="720" w:firstLineChars="200"/>
        <w:jc w:val="both"/>
        <w:textAlignment w:val="auto"/>
        <w:rPr>
          <w:rFonts w:hint="eastAsia" w:ascii="Times New Roman" w:hAnsi="Times New Roman" w:eastAsia="仿宋_GB2312" w:cs="Times New Roman"/>
          <w:b w:val="0"/>
          <w:bCs w:val="0"/>
          <w:i w:val="0"/>
          <w:iCs w:val="0"/>
          <w:caps w:val="0"/>
          <w:color w:val="auto"/>
          <w:spacing w:val="20"/>
          <w:sz w:val="32"/>
          <w:szCs w:val="32"/>
          <w:highlight w:val="none"/>
          <w:shd w:val="clear" w:fill="FFFFFF"/>
          <w:lang w:val="en-US" w:eastAsia="zh-CN" w:bidi="ar-SA"/>
        </w:rPr>
      </w:pPr>
      <w:r>
        <w:rPr>
          <w:rFonts w:hint="eastAsia" w:ascii="Times New Roman" w:hAnsi="Times New Roman" w:eastAsia="仿宋_GB2312" w:cs="Times New Roman"/>
          <w:b w:val="0"/>
          <w:bCs w:val="0"/>
          <w:i w:val="0"/>
          <w:iCs w:val="0"/>
          <w:caps w:val="0"/>
          <w:color w:val="auto"/>
          <w:spacing w:val="20"/>
          <w:sz w:val="32"/>
          <w:szCs w:val="32"/>
          <w:highlight w:val="none"/>
          <w:shd w:val="clear" w:fill="FFFFFF"/>
          <w:lang w:val="en-US" w:eastAsia="zh-CN" w:bidi="ar-SA"/>
        </w:rPr>
        <w:t>经党中央、国务院批准，国家发展改革委、商务部、市场监管总局发布《市场准入负面清单（2025年版）》。相比2022年版清单，新版清单事项数量由117项缩减至106项，减少了11项，事项下的全国性具体管理措施减少了17条，地方性管理措施减少了16条。</w:t>
      </w:r>
    </w:p>
    <w:p>
      <w:pPr>
        <w:keepNext w:val="0"/>
        <w:keepLines w:val="0"/>
        <w:pageBreakBefore w:val="0"/>
        <w:widowControl/>
        <w:numPr>
          <w:ilvl w:val="0"/>
          <w:numId w:val="0"/>
        </w:numPr>
        <w:pBdr>
          <w:bottom w:val="single" w:color="FFFFFF" w:sz="4" w:space="30"/>
        </w:pBdr>
        <w:shd w:val="clear"/>
        <w:tabs>
          <w:tab w:val="left" w:pos="586"/>
          <w:tab w:val="left" w:pos="1440"/>
        </w:tabs>
        <w:kinsoku/>
        <w:wordWrap/>
        <w:overflowPunct w:val="0"/>
        <w:topLinePunct w:val="0"/>
        <w:autoSpaceDE/>
        <w:autoSpaceDN/>
        <w:bidi w:val="0"/>
        <w:adjustRightInd w:val="0"/>
        <w:snapToGrid w:val="0"/>
        <w:spacing w:beforeAutospacing="0" w:afterAutospacing="0" w:line="570" w:lineRule="exact"/>
        <w:ind w:firstLine="722" w:firstLineChars="200"/>
        <w:jc w:val="left"/>
        <w:textAlignment w:val="auto"/>
        <w:outlineLvl w:val="0"/>
        <w:rPr>
          <w:rFonts w:hint="eastAsia" w:ascii="楷体_GB2312" w:hAnsi="楷体_GB2312" w:eastAsia="楷体_GB2312" w:cs="楷体_GB2312"/>
          <w:b/>
          <w:bCs/>
          <w:i w:val="0"/>
          <w:iCs w:val="0"/>
          <w:caps w:val="0"/>
          <w:color w:val="auto"/>
          <w:spacing w:val="20"/>
          <w:sz w:val="32"/>
          <w:szCs w:val="32"/>
          <w:highlight w:val="none"/>
          <w:shd w:val="clear" w:fill="FFFFFF"/>
          <w:lang w:val="en-US" w:eastAsia="zh-CN" w:bidi="ar-SA"/>
        </w:rPr>
      </w:pPr>
      <w:r>
        <w:rPr>
          <w:rFonts w:hint="eastAsia" w:ascii="楷体_GB2312" w:hAnsi="楷体_GB2312" w:eastAsia="楷体_GB2312" w:cs="楷体_GB2312"/>
          <w:b/>
          <w:bCs/>
          <w:i w:val="0"/>
          <w:iCs w:val="0"/>
          <w:caps w:val="0"/>
          <w:color w:val="auto"/>
          <w:spacing w:val="20"/>
          <w:sz w:val="32"/>
          <w:szCs w:val="32"/>
          <w:highlight w:val="none"/>
          <w:shd w:val="clear" w:fill="FFFFFF"/>
          <w:lang w:val="en-US" w:eastAsia="zh-CN" w:bidi="ar-SA"/>
        </w:rPr>
        <w:t>（二）河南省市场主体专项信用报告实施领域增至47个</w:t>
      </w:r>
    </w:p>
    <w:p>
      <w:pPr>
        <w:keepNext w:val="0"/>
        <w:keepLines w:val="0"/>
        <w:pageBreakBefore w:val="0"/>
        <w:widowControl/>
        <w:numPr>
          <w:ilvl w:val="0"/>
          <w:numId w:val="0"/>
        </w:numPr>
        <w:pBdr>
          <w:bottom w:val="single" w:color="FFFFFF" w:sz="4" w:space="30"/>
        </w:pBdr>
        <w:shd w:val="clear"/>
        <w:tabs>
          <w:tab w:val="left" w:pos="586"/>
          <w:tab w:val="left" w:pos="1440"/>
        </w:tabs>
        <w:kinsoku/>
        <w:wordWrap/>
        <w:overflowPunct w:val="0"/>
        <w:topLinePunct w:val="0"/>
        <w:autoSpaceDE/>
        <w:autoSpaceDN/>
        <w:bidi w:val="0"/>
        <w:adjustRightInd w:val="0"/>
        <w:snapToGrid w:val="0"/>
        <w:spacing w:beforeAutospacing="0" w:afterAutospacing="0" w:line="570" w:lineRule="exact"/>
        <w:ind w:firstLine="720" w:firstLineChars="200"/>
        <w:jc w:val="both"/>
        <w:textAlignment w:val="auto"/>
        <w:outlineLvl w:val="0"/>
        <w:rPr>
          <w:rFonts w:hint="eastAsia" w:ascii="Times New Roman" w:hAnsi="Times New Roman" w:eastAsia="仿宋_GB2312" w:cs="Times New Roman"/>
          <w:b w:val="0"/>
          <w:bCs w:val="0"/>
          <w:i w:val="0"/>
          <w:iCs w:val="0"/>
          <w:caps w:val="0"/>
          <w:color w:val="auto"/>
          <w:spacing w:val="20"/>
          <w:sz w:val="32"/>
          <w:szCs w:val="32"/>
          <w:highlight w:val="none"/>
          <w:shd w:val="clear" w:fill="FFFFFF"/>
          <w:lang w:val="en-US" w:eastAsia="zh-CN" w:bidi="ar-SA"/>
        </w:rPr>
      </w:pPr>
      <w:r>
        <w:rPr>
          <w:rFonts w:hint="eastAsia" w:ascii="Times New Roman" w:hAnsi="Times New Roman" w:eastAsia="仿宋_GB2312" w:cs="Times New Roman"/>
          <w:b w:val="0"/>
          <w:bCs w:val="0"/>
          <w:i w:val="0"/>
          <w:iCs w:val="0"/>
          <w:caps w:val="0"/>
          <w:color w:val="auto"/>
          <w:spacing w:val="20"/>
          <w:sz w:val="32"/>
          <w:szCs w:val="32"/>
          <w:highlight w:val="none"/>
          <w:shd w:val="clear" w:fill="FFFFFF"/>
          <w:lang w:val="en-US" w:eastAsia="zh-CN" w:bidi="ar-SA"/>
        </w:rPr>
        <w:t>河南进一步拓展市场主体专项信用报告实施领域，新增密码管理、档案、地震3个领域，实施领域由原来的44个增至47个，基本实现省内重点领域全覆盖。</w:t>
      </w:r>
    </w:p>
    <w:p>
      <w:pPr>
        <w:keepNext w:val="0"/>
        <w:keepLines w:val="0"/>
        <w:pageBreakBefore w:val="0"/>
        <w:widowControl/>
        <w:numPr>
          <w:ilvl w:val="0"/>
          <w:numId w:val="0"/>
        </w:numPr>
        <w:pBdr>
          <w:bottom w:val="single" w:color="FFFFFF" w:sz="4" w:space="30"/>
        </w:pBdr>
        <w:shd w:val="clear"/>
        <w:tabs>
          <w:tab w:val="left" w:pos="586"/>
          <w:tab w:val="left" w:pos="1440"/>
        </w:tabs>
        <w:kinsoku/>
        <w:wordWrap/>
        <w:overflowPunct w:val="0"/>
        <w:topLinePunct w:val="0"/>
        <w:autoSpaceDE/>
        <w:autoSpaceDN/>
        <w:bidi w:val="0"/>
        <w:adjustRightInd w:val="0"/>
        <w:snapToGrid w:val="0"/>
        <w:spacing w:beforeAutospacing="0" w:afterAutospacing="0" w:line="570" w:lineRule="exact"/>
        <w:ind w:firstLine="640" w:firstLineChars="200"/>
        <w:jc w:val="left"/>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四、他山之石</w:t>
      </w:r>
    </w:p>
    <w:p>
      <w:pPr>
        <w:keepNext w:val="0"/>
        <w:keepLines w:val="0"/>
        <w:pageBreakBefore w:val="0"/>
        <w:widowControl/>
        <w:numPr>
          <w:ilvl w:val="0"/>
          <w:numId w:val="1"/>
        </w:numPr>
        <w:pBdr>
          <w:bottom w:val="single" w:color="FFFFFF" w:sz="4" w:space="30"/>
        </w:pBdr>
        <w:shd w:val="clear"/>
        <w:tabs>
          <w:tab w:val="left" w:pos="586"/>
          <w:tab w:val="left" w:pos="1440"/>
        </w:tabs>
        <w:kinsoku/>
        <w:wordWrap/>
        <w:overflowPunct w:val="0"/>
        <w:topLinePunct w:val="0"/>
        <w:autoSpaceDE/>
        <w:autoSpaceDN/>
        <w:bidi w:val="0"/>
        <w:adjustRightInd w:val="0"/>
        <w:snapToGrid w:val="0"/>
        <w:spacing w:beforeAutospacing="0" w:afterAutospacing="0" w:line="570" w:lineRule="exact"/>
        <w:ind w:firstLine="642" w:firstLineChars="200"/>
        <w:jc w:val="left"/>
        <w:textAlignment w:val="auto"/>
        <w:outlineLvl w:val="0"/>
        <w:rPr>
          <w:rFonts w:hint="eastAsia" w:ascii="楷体_GB2312" w:hAnsi="楷体_GB2312" w:eastAsia="楷体_GB2312" w:cs="楷体_GB2312"/>
          <w:b/>
          <w:bCs/>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国内省市动态</w:t>
      </w:r>
    </w:p>
    <w:p>
      <w:pPr>
        <w:keepNext w:val="0"/>
        <w:keepLines w:val="0"/>
        <w:pageBreakBefore w:val="0"/>
        <w:widowControl w:val="0"/>
        <w:numPr>
          <w:ilvl w:val="0"/>
          <w:numId w:val="0"/>
        </w:numPr>
        <w:pBdr>
          <w:bottom w:val="single" w:color="FFFFFF" w:sz="4" w:space="30"/>
        </w:pBdr>
        <w:shd w:val="clear"/>
        <w:tabs>
          <w:tab w:val="left" w:pos="586"/>
          <w:tab w:val="left" w:pos="1440"/>
        </w:tabs>
        <w:kinsoku/>
        <w:wordWrap/>
        <w:overflowPunct w:val="0"/>
        <w:topLinePunct w:val="0"/>
        <w:autoSpaceDE/>
        <w:autoSpaceDN/>
        <w:bidi w:val="0"/>
        <w:adjustRightInd w:val="0"/>
        <w:snapToGrid/>
        <w:spacing w:beforeAutospacing="0" w:afterAutospacing="0" w:line="570" w:lineRule="exact"/>
        <w:ind w:firstLine="722" w:firstLineChars="200"/>
        <w:jc w:val="both"/>
        <w:textAlignment w:val="auto"/>
        <w:outlineLvl w:val="1"/>
        <w:rPr>
          <w:rFonts w:hint="default" w:ascii="Times New Roman" w:hAnsi="Times New Roman" w:eastAsia="仿宋_GB2312" w:cs="Times New Roman"/>
          <w:b/>
          <w:bCs/>
          <w:i w:val="0"/>
          <w:iCs w:val="0"/>
          <w:caps w:val="0"/>
          <w:color w:val="auto"/>
          <w:spacing w:val="20"/>
          <w:kern w:val="0"/>
          <w:sz w:val="32"/>
          <w:szCs w:val="32"/>
          <w:highlight w:val="none"/>
          <w:shd w:val="clear" w:fill="FFFFFF"/>
          <w:lang w:val="en-US" w:eastAsia="zh-CN" w:bidi="ar-SA"/>
        </w:rPr>
      </w:pPr>
      <w:r>
        <w:rPr>
          <w:rFonts w:hint="eastAsia" w:ascii="Times New Roman" w:hAnsi="Times New Roman" w:eastAsia="仿宋_GB2312" w:cs="Times New Roman"/>
          <w:b/>
          <w:bCs/>
          <w:i w:val="0"/>
          <w:iCs w:val="0"/>
          <w:caps w:val="0"/>
          <w:color w:val="auto"/>
          <w:spacing w:val="20"/>
          <w:kern w:val="0"/>
          <w:sz w:val="32"/>
          <w:szCs w:val="32"/>
          <w:highlight w:val="none"/>
          <w:shd w:val="clear" w:fill="FFFFFF"/>
          <w:lang w:val="en-US" w:eastAsia="zh-CN" w:bidi="ar-SA"/>
        </w:rPr>
        <w:t>1.北京市</w:t>
      </w:r>
      <w:r>
        <w:rPr>
          <w:rFonts w:hint="default" w:ascii="Times New Roman" w:hAnsi="Times New Roman" w:eastAsia="仿宋_GB2312" w:cs="Times New Roman"/>
          <w:b/>
          <w:bCs/>
          <w:i w:val="0"/>
          <w:iCs w:val="0"/>
          <w:caps w:val="0"/>
          <w:color w:val="auto"/>
          <w:spacing w:val="20"/>
          <w:kern w:val="0"/>
          <w:sz w:val="32"/>
          <w:szCs w:val="32"/>
          <w:highlight w:val="none"/>
          <w:shd w:val="clear" w:fill="FFFFFF"/>
          <w:lang w:val="en-US" w:eastAsia="zh-CN" w:bidi="ar-SA"/>
        </w:rPr>
        <w:t>：人社局推出44条硬核措施 助力优化营商环境</w:t>
      </w:r>
    </w:p>
    <w:p>
      <w:pPr>
        <w:keepNext w:val="0"/>
        <w:keepLines w:val="0"/>
        <w:pageBreakBefore w:val="0"/>
        <w:widowControl w:val="0"/>
        <w:numPr>
          <w:ilvl w:val="0"/>
          <w:numId w:val="0"/>
        </w:numPr>
        <w:pBdr>
          <w:bottom w:val="single" w:color="FFFFFF" w:sz="4" w:space="30"/>
        </w:pBdr>
        <w:shd w:val="clear"/>
        <w:tabs>
          <w:tab w:val="left" w:pos="586"/>
          <w:tab w:val="left" w:pos="1440"/>
        </w:tabs>
        <w:kinsoku/>
        <w:wordWrap/>
        <w:overflowPunct w:val="0"/>
        <w:topLinePunct w:val="0"/>
        <w:autoSpaceDE/>
        <w:autoSpaceDN/>
        <w:bidi w:val="0"/>
        <w:adjustRightInd w:val="0"/>
        <w:snapToGrid/>
        <w:spacing w:beforeAutospacing="0" w:afterAutospacing="0" w:line="570" w:lineRule="exact"/>
        <w:ind w:firstLine="720" w:firstLineChars="200"/>
        <w:jc w:val="both"/>
        <w:textAlignment w:val="auto"/>
        <w:outlineLvl w:val="1"/>
        <w:rPr>
          <w:rFonts w:hint="default" w:ascii="Times New Roman" w:hAnsi="Times New Roman" w:eastAsia="仿宋_GB2312" w:cs="Times New Roman"/>
          <w:b w:val="0"/>
          <w:bCs w:val="0"/>
          <w:i w:val="0"/>
          <w:iCs w:val="0"/>
          <w:caps w:val="0"/>
          <w:color w:val="auto"/>
          <w:spacing w:val="20"/>
          <w:kern w:val="0"/>
          <w:sz w:val="32"/>
          <w:szCs w:val="32"/>
          <w:highlight w:val="none"/>
          <w:shd w:val="clear" w:fill="FFFFFF"/>
          <w:lang w:val="en-US" w:eastAsia="zh-CN" w:bidi="ar-SA"/>
        </w:rPr>
      </w:pPr>
      <w:r>
        <w:rPr>
          <w:rFonts w:hint="default" w:ascii="Times New Roman" w:hAnsi="Times New Roman" w:eastAsia="仿宋_GB2312" w:cs="Times New Roman"/>
          <w:b w:val="0"/>
          <w:bCs w:val="0"/>
          <w:i w:val="0"/>
          <w:iCs w:val="0"/>
          <w:caps w:val="0"/>
          <w:color w:val="auto"/>
          <w:spacing w:val="20"/>
          <w:kern w:val="0"/>
          <w:sz w:val="32"/>
          <w:szCs w:val="32"/>
          <w:highlight w:val="none"/>
          <w:shd w:val="clear" w:fill="FFFFFF"/>
          <w:lang w:val="en-US" w:eastAsia="zh-CN" w:bidi="ar-SA"/>
        </w:rPr>
        <w:t>北京市人社局发布《聚焦打造国际一流“北京服务”全面优化人社领域营商环境工作方案》，以开展人社窗口单位“作风建设提升年”专项行动为契机，在就业创业、社会保障、人事人才、劳动关系、人社服务和京津冀协同等6个方面提出44条改革举措，助力打造国际一流的“北京服务”。</w:t>
      </w:r>
    </w:p>
    <w:p>
      <w:pPr>
        <w:keepNext w:val="0"/>
        <w:keepLines w:val="0"/>
        <w:pageBreakBefore w:val="0"/>
        <w:widowControl w:val="0"/>
        <w:numPr>
          <w:ilvl w:val="0"/>
          <w:numId w:val="0"/>
        </w:numPr>
        <w:pBdr>
          <w:bottom w:val="single" w:color="FFFFFF" w:sz="4" w:space="30"/>
        </w:pBdr>
        <w:shd w:val="clear"/>
        <w:tabs>
          <w:tab w:val="left" w:pos="586"/>
          <w:tab w:val="left" w:pos="1440"/>
        </w:tabs>
        <w:kinsoku/>
        <w:wordWrap/>
        <w:overflowPunct w:val="0"/>
        <w:topLinePunct w:val="0"/>
        <w:autoSpaceDE/>
        <w:autoSpaceDN/>
        <w:bidi w:val="0"/>
        <w:adjustRightInd w:val="0"/>
        <w:snapToGrid/>
        <w:spacing w:beforeAutospacing="0" w:afterAutospacing="0" w:line="570" w:lineRule="exact"/>
        <w:ind w:firstLine="720" w:firstLineChars="200"/>
        <w:jc w:val="both"/>
        <w:textAlignment w:val="auto"/>
        <w:outlineLvl w:val="1"/>
        <w:rPr>
          <w:rFonts w:hint="default" w:ascii="Times New Roman" w:hAnsi="Times New Roman" w:eastAsia="仿宋_GB2312" w:cs="Times New Roman"/>
          <w:b w:val="0"/>
          <w:bCs w:val="0"/>
          <w:i w:val="0"/>
          <w:iCs w:val="0"/>
          <w:caps w:val="0"/>
          <w:color w:val="auto"/>
          <w:spacing w:val="20"/>
          <w:kern w:val="0"/>
          <w:sz w:val="32"/>
          <w:szCs w:val="32"/>
          <w:highlight w:val="none"/>
          <w:shd w:val="clear" w:fill="FFFFFF"/>
          <w:lang w:val="en-US" w:eastAsia="zh-CN" w:bidi="ar-SA"/>
        </w:rPr>
      </w:pPr>
    </w:p>
    <w:p>
      <w:pPr>
        <w:keepNext w:val="0"/>
        <w:keepLines w:val="0"/>
        <w:pageBreakBefore w:val="0"/>
        <w:widowControl w:val="0"/>
        <w:numPr>
          <w:ilvl w:val="0"/>
          <w:numId w:val="0"/>
        </w:numPr>
        <w:pBdr>
          <w:bottom w:val="single" w:color="FFFFFF" w:sz="4" w:space="30"/>
        </w:pBdr>
        <w:shd w:val="clear"/>
        <w:tabs>
          <w:tab w:val="left" w:pos="586"/>
          <w:tab w:val="left" w:pos="1440"/>
        </w:tabs>
        <w:kinsoku/>
        <w:wordWrap/>
        <w:overflowPunct w:val="0"/>
        <w:topLinePunct w:val="0"/>
        <w:autoSpaceDE/>
        <w:autoSpaceDN/>
        <w:bidi w:val="0"/>
        <w:adjustRightInd w:val="0"/>
        <w:snapToGrid/>
        <w:spacing w:beforeAutospacing="0" w:afterAutospacing="0" w:line="570" w:lineRule="exact"/>
        <w:ind w:firstLine="722" w:firstLineChars="200"/>
        <w:jc w:val="left"/>
        <w:textAlignment w:val="auto"/>
        <w:outlineLvl w:val="1"/>
        <w:rPr>
          <w:rFonts w:hint="default" w:ascii="Times New Roman" w:hAnsi="Times New Roman" w:eastAsia="仿宋_GB2312" w:cs="Times New Roman"/>
          <w:b/>
          <w:bCs/>
          <w:i w:val="0"/>
          <w:iCs w:val="0"/>
          <w:caps w:val="0"/>
          <w:color w:val="auto"/>
          <w:spacing w:val="20"/>
          <w:kern w:val="0"/>
          <w:sz w:val="32"/>
          <w:szCs w:val="32"/>
          <w:highlight w:val="none"/>
          <w:shd w:val="clear" w:fill="FFFFFF"/>
          <w:lang w:val="en-US" w:eastAsia="zh-CN" w:bidi="ar-SA"/>
        </w:rPr>
      </w:pPr>
      <w:r>
        <w:rPr>
          <w:rFonts w:hint="eastAsia" w:ascii="Times New Roman" w:hAnsi="Times New Roman" w:eastAsia="仿宋_GB2312" w:cs="Times New Roman"/>
          <w:b/>
          <w:bCs/>
          <w:i w:val="0"/>
          <w:iCs w:val="0"/>
          <w:caps w:val="0"/>
          <w:color w:val="auto"/>
          <w:spacing w:val="20"/>
          <w:kern w:val="0"/>
          <w:sz w:val="32"/>
          <w:szCs w:val="32"/>
          <w:highlight w:val="none"/>
          <w:shd w:val="clear" w:fill="FFFFFF"/>
          <w:lang w:val="en-US" w:eastAsia="zh-CN" w:bidi="ar-SA"/>
        </w:rPr>
        <w:t>2.上海市</w:t>
      </w:r>
      <w:r>
        <w:rPr>
          <w:rFonts w:hint="default" w:ascii="Times New Roman" w:hAnsi="Times New Roman" w:eastAsia="仿宋_GB2312" w:cs="Times New Roman"/>
          <w:b/>
          <w:bCs/>
          <w:i w:val="0"/>
          <w:iCs w:val="0"/>
          <w:caps w:val="0"/>
          <w:color w:val="auto"/>
          <w:spacing w:val="20"/>
          <w:kern w:val="0"/>
          <w:sz w:val="32"/>
          <w:szCs w:val="32"/>
          <w:highlight w:val="none"/>
          <w:shd w:val="clear" w:fill="FFFFFF"/>
          <w:lang w:val="en-US" w:eastAsia="zh-CN" w:bidi="ar-SA"/>
        </w:rPr>
        <w:t>：发布2025年优化营商环境“十大攻坚突破任务”</w:t>
      </w:r>
    </w:p>
    <w:p>
      <w:pPr>
        <w:keepNext w:val="0"/>
        <w:keepLines w:val="0"/>
        <w:pageBreakBefore w:val="0"/>
        <w:widowControl w:val="0"/>
        <w:numPr>
          <w:ilvl w:val="0"/>
          <w:numId w:val="0"/>
        </w:numPr>
        <w:pBdr>
          <w:bottom w:val="single" w:color="FFFFFF" w:sz="4" w:space="30"/>
        </w:pBdr>
        <w:shd w:val="clear"/>
        <w:tabs>
          <w:tab w:val="left" w:pos="586"/>
          <w:tab w:val="left" w:pos="1440"/>
        </w:tabs>
        <w:kinsoku/>
        <w:wordWrap/>
        <w:overflowPunct w:val="0"/>
        <w:topLinePunct w:val="0"/>
        <w:autoSpaceDE/>
        <w:autoSpaceDN/>
        <w:bidi w:val="0"/>
        <w:adjustRightInd w:val="0"/>
        <w:snapToGrid/>
        <w:spacing w:beforeAutospacing="0" w:afterAutospacing="0" w:line="570" w:lineRule="exact"/>
        <w:ind w:firstLine="720" w:firstLineChars="200"/>
        <w:jc w:val="left"/>
        <w:textAlignment w:val="auto"/>
        <w:outlineLvl w:val="1"/>
        <w:rPr>
          <w:rFonts w:hint="default" w:ascii="Times New Roman" w:hAnsi="Times New Roman" w:eastAsia="仿宋_GB2312" w:cs="Times New Roman"/>
          <w:b w:val="0"/>
          <w:bCs w:val="0"/>
          <w:i w:val="0"/>
          <w:iCs w:val="0"/>
          <w:caps w:val="0"/>
          <w:color w:val="auto"/>
          <w:spacing w:val="20"/>
          <w:kern w:val="0"/>
          <w:sz w:val="32"/>
          <w:szCs w:val="32"/>
          <w:highlight w:val="none"/>
          <w:shd w:val="clear" w:fill="FFFFFF"/>
          <w:lang w:val="en-US" w:eastAsia="zh-CN" w:bidi="ar-SA"/>
        </w:rPr>
      </w:pPr>
      <w:r>
        <w:rPr>
          <w:rFonts w:hint="default" w:ascii="Times New Roman" w:hAnsi="Times New Roman" w:eastAsia="仿宋_GB2312" w:cs="Times New Roman"/>
          <w:b w:val="0"/>
          <w:bCs w:val="0"/>
          <w:i w:val="0"/>
          <w:iCs w:val="0"/>
          <w:caps w:val="0"/>
          <w:color w:val="auto"/>
          <w:spacing w:val="20"/>
          <w:kern w:val="0"/>
          <w:sz w:val="32"/>
          <w:szCs w:val="32"/>
          <w:highlight w:val="none"/>
          <w:shd w:val="clear" w:fill="FFFFFF"/>
          <w:lang w:val="en-US" w:eastAsia="zh-CN" w:bidi="ar-SA"/>
        </w:rPr>
        <w:t>上海市发展改革委印发《关于加力提速推进2025年优化营商环境“十大攻坚突破任务”的通知》，选取企业需求迫切、部门协同推进要求高的十个事项进行攻坚突破，加力推出增量举措，攻坚解决裉节问题，公开接受社会监督。通过重点协调、重点推进、重点督查、重点宣介，推动各项任务尽早落地，确保年内取得明显成效。</w:t>
      </w:r>
    </w:p>
    <w:p>
      <w:pPr>
        <w:keepNext w:val="0"/>
        <w:keepLines w:val="0"/>
        <w:pageBreakBefore w:val="0"/>
        <w:widowControl w:val="0"/>
        <w:numPr>
          <w:ilvl w:val="0"/>
          <w:numId w:val="1"/>
        </w:numPr>
        <w:pBdr>
          <w:bottom w:val="single" w:color="FFFFFF" w:sz="4" w:space="30"/>
        </w:pBdr>
        <w:shd w:val="clear"/>
        <w:tabs>
          <w:tab w:val="left" w:pos="586"/>
          <w:tab w:val="left" w:pos="1440"/>
        </w:tabs>
        <w:kinsoku/>
        <w:wordWrap/>
        <w:overflowPunct w:val="0"/>
        <w:topLinePunct w:val="0"/>
        <w:autoSpaceDE/>
        <w:autoSpaceDN/>
        <w:bidi w:val="0"/>
        <w:adjustRightInd w:val="0"/>
        <w:snapToGrid/>
        <w:spacing w:beforeAutospacing="0" w:afterAutospacing="0" w:line="570" w:lineRule="exact"/>
        <w:ind w:left="0" w:leftChars="0" w:firstLine="642" w:firstLineChars="200"/>
        <w:jc w:val="left"/>
        <w:textAlignment w:val="auto"/>
        <w:outlineLvl w:val="1"/>
        <w:rPr>
          <w:rFonts w:hint="eastAsia" w:ascii="楷体_GB2312" w:hAnsi="楷体_GB2312" w:eastAsia="楷体_GB2312" w:cs="楷体_GB2312"/>
          <w:b/>
          <w:bCs/>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省内地域亮点</w:t>
      </w:r>
    </w:p>
    <w:p>
      <w:pPr>
        <w:keepNext w:val="0"/>
        <w:keepLines w:val="0"/>
        <w:pageBreakBefore w:val="0"/>
        <w:widowControl w:val="0"/>
        <w:numPr>
          <w:ilvl w:val="0"/>
          <w:numId w:val="0"/>
        </w:numPr>
        <w:pBdr>
          <w:bottom w:val="single" w:color="FFFFFF" w:sz="4" w:space="30"/>
        </w:pBdr>
        <w:shd w:val="clear"/>
        <w:tabs>
          <w:tab w:val="left" w:pos="586"/>
          <w:tab w:val="left" w:pos="1440"/>
        </w:tabs>
        <w:kinsoku/>
        <w:wordWrap/>
        <w:overflowPunct w:val="0"/>
        <w:topLinePunct w:val="0"/>
        <w:autoSpaceDE/>
        <w:autoSpaceDN/>
        <w:bidi w:val="0"/>
        <w:adjustRightInd w:val="0"/>
        <w:snapToGrid/>
        <w:spacing w:beforeAutospacing="0" w:afterAutospacing="0" w:line="570" w:lineRule="exact"/>
        <w:ind w:firstLine="722" w:firstLineChars="200"/>
        <w:jc w:val="left"/>
        <w:textAlignment w:val="auto"/>
        <w:outlineLvl w:val="1"/>
        <w:rPr>
          <w:rFonts w:hint="eastAsia" w:ascii="Times New Roman" w:hAnsi="Times New Roman" w:eastAsia="仿宋_GB2312" w:cs="Times New Roman"/>
          <w:b/>
          <w:bCs/>
          <w:i w:val="0"/>
          <w:iCs w:val="0"/>
          <w:caps w:val="0"/>
          <w:color w:val="auto"/>
          <w:spacing w:val="20"/>
          <w:kern w:val="0"/>
          <w:sz w:val="32"/>
          <w:szCs w:val="32"/>
          <w:highlight w:val="none"/>
          <w:shd w:val="clear" w:fill="FFFFFF"/>
          <w:lang w:val="en-US" w:eastAsia="zh-CN" w:bidi="ar-SA"/>
        </w:rPr>
      </w:pPr>
      <w:r>
        <w:rPr>
          <w:rFonts w:hint="eastAsia" w:ascii="Times New Roman" w:hAnsi="Times New Roman" w:eastAsia="仿宋_GB2312" w:cs="Times New Roman"/>
          <w:b/>
          <w:bCs/>
          <w:i w:val="0"/>
          <w:iCs w:val="0"/>
          <w:caps w:val="0"/>
          <w:color w:val="auto"/>
          <w:spacing w:val="20"/>
          <w:kern w:val="0"/>
          <w:sz w:val="32"/>
          <w:szCs w:val="32"/>
          <w:highlight w:val="none"/>
          <w:shd w:val="clear" w:fill="FFFFFF"/>
          <w:lang w:val="en-US" w:eastAsia="zh-CN" w:bidi="ar-SA"/>
        </w:rPr>
        <w:t>1.淅川县：交易上“云” 服务到“心”</w:t>
      </w:r>
    </w:p>
    <w:p>
      <w:pPr>
        <w:keepNext w:val="0"/>
        <w:keepLines w:val="0"/>
        <w:pageBreakBefore w:val="0"/>
        <w:widowControl w:val="0"/>
        <w:numPr>
          <w:ilvl w:val="0"/>
          <w:numId w:val="0"/>
        </w:numPr>
        <w:pBdr>
          <w:bottom w:val="single" w:color="FFFFFF" w:sz="4" w:space="30"/>
        </w:pBdr>
        <w:shd w:val="clear"/>
        <w:tabs>
          <w:tab w:val="left" w:pos="586"/>
          <w:tab w:val="left" w:pos="1440"/>
        </w:tabs>
        <w:kinsoku/>
        <w:wordWrap/>
        <w:overflowPunct w:val="0"/>
        <w:topLinePunct w:val="0"/>
        <w:autoSpaceDE/>
        <w:autoSpaceDN/>
        <w:bidi w:val="0"/>
        <w:adjustRightInd w:val="0"/>
        <w:snapToGrid/>
        <w:spacing w:beforeAutospacing="0" w:afterAutospacing="0" w:line="570" w:lineRule="exact"/>
        <w:ind w:firstLine="720" w:firstLineChars="200"/>
        <w:jc w:val="both"/>
        <w:textAlignment w:val="auto"/>
        <w:outlineLvl w:val="1"/>
        <w:rPr>
          <w:rFonts w:hint="default" w:ascii="Times New Roman" w:hAnsi="Times New Roman" w:eastAsia="仿宋_GB2312" w:cs="Times New Roman"/>
          <w:b w:val="0"/>
          <w:bCs w:val="0"/>
          <w:i w:val="0"/>
          <w:iCs w:val="0"/>
          <w:caps w:val="0"/>
          <w:color w:val="auto"/>
          <w:spacing w:val="20"/>
          <w:kern w:val="0"/>
          <w:sz w:val="32"/>
          <w:szCs w:val="32"/>
          <w:highlight w:val="none"/>
          <w:shd w:val="clear" w:fill="FFFFFF"/>
          <w:lang w:val="en-US" w:eastAsia="zh-CN" w:bidi="ar-SA"/>
        </w:rPr>
      </w:pPr>
      <w:r>
        <w:rPr>
          <w:rFonts w:hint="default" w:ascii="Times New Roman" w:hAnsi="Times New Roman" w:eastAsia="仿宋_GB2312" w:cs="Times New Roman"/>
          <w:b w:val="0"/>
          <w:bCs w:val="0"/>
          <w:i w:val="0"/>
          <w:iCs w:val="0"/>
          <w:caps w:val="0"/>
          <w:color w:val="auto"/>
          <w:spacing w:val="20"/>
          <w:kern w:val="0"/>
          <w:sz w:val="32"/>
          <w:szCs w:val="32"/>
          <w:highlight w:val="none"/>
          <w:shd w:val="clear" w:fill="FFFFFF"/>
          <w:lang w:val="en-US" w:eastAsia="zh-CN" w:bidi="ar-SA"/>
        </w:rPr>
        <w:t>淅川县公共资源交易中心以“互联网+政务服务”改革为突破口，创新构建“全流程智控、全周期服务、全要素保障”的公共资源交易体系，通过技术革新、制度重塑、服务升级三向发力，推动交易服务从“人工跑腿”向“数据跑路”深度转型，招标投标领域营商环境进一步提高。</w:t>
      </w:r>
    </w:p>
    <w:p>
      <w:pPr>
        <w:keepNext w:val="0"/>
        <w:keepLines w:val="0"/>
        <w:pageBreakBefore w:val="0"/>
        <w:widowControl w:val="0"/>
        <w:numPr>
          <w:ilvl w:val="0"/>
          <w:numId w:val="0"/>
        </w:numPr>
        <w:pBdr>
          <w:bottom w:val="single" w:color="FFFFFF" w:sz="4" w:space="30"/>
        </w:pBdr>
        <w:shd w:val="clear"/>
        <w:tabs>
          <w:tab w:val="left" w:pos="586"/>
          <w:tab w:val="left" w:pos="1440"/>
        </w:tabs>
        <w:kinsoku/>
        <w:wordWrap/>
        <w:overflowPunct w:val="0"/>
        <w:topLinePunct w:val="0"/>
        <w:autoSpaceDE/>
        <w:autoSpaceDN/>
        <w:bidi w:val="0"/>
        <w:adjustRightInd w:val="0"/>
        <w:snapToGrid/>
        <w:spacing w:beforeAutospacing="0" w:afterAutospacing="0" w:line="570" w:lineRule="exact"/>
        <w:ind w:firstLine="722" w:firstLineChars="200"/>
        <w:jc w:val="left"/>
        <w:textAlignment w:val="auto"/>
        <w:outlineLvl w:val="1"/>
        <w:rPr>
          <w:rFonts w:hint="eastAsia" w:ascii="Times New Roman" w:hAnsi="Times New Roman" w:eastAsia="仿宋_GB2312" w:cs="Times New Roman"/>
          <w:b/>
          <w:bCs/>
          <w:i w:val="0"/>
          <w:iCs w:val="0"/>
          <w:caps w:val="0"/>
          <w:color w:val="auto"/>
          <w:spacing w:val="20"/>
          <w:kern w:val="0"/>
          <w:sz w:val="32"/>
          <w:szCs w:val="32"/>
          <w:highlight w:val="none"/>
          <w:shd w:val="clear" w:fill="FFFFFF"/>
          <w:lang w:val="en-US" w:eastAsia="zh-CN" w:bidi="ar-SA"/>
        </w:rPr>
      </w:pPr>
      <w:r>
        <w:rPr>
          <w:rFonts w:hint="eastAsia" w:ascii="Times New Roman" w:hAnsi="Times New Roman" w:eastAsia="仿宋_GB2312" w:cs="Times New Roman"/>
          <w:b/>
          <w:bCs/>
          <w:i w:val="0"/>
          <w:iCs w:val="0"/>
          <w:caps w:val="0"/>
          <w:color w:val="auto"/>
          <w:spacing w:val="20"/>
          <w:kern w:val="0"/>
          <w:sz w:val="32"/>
          <w:szCs w:val="32"/>
          <w:highlight w:val="none"/>
          <w:shd w:val="clear" w:fill="FFFFFF"/>
          <w:lang w:val="en-US" w:eastAsia="zh-CN" w:bidi="ar-SA"/>
        </w:rPr>
        <w:t>2.商城县：高效办成一件事 政务服务提效能</w:t>
      </w:r>
    </w:p>
    <w:p>
      <w:pPr>
        <w:keepNext w:val="0"/>
        <w:keepLines w:val="0"/>
        <w:pageBreakBefore w:val="0"/>
        <w:widowControl w:val="0"/>
        <w:numPr>
          <w:ilvl w:val="0"/>
          <w:numId w:val="0"/>
        </w:numPr>
        <w:pBdr>
          <w:bottom w:val="single" w:color="FFFFFF" w:sz="4" w:space="30"/>
        </w:pBdr>
        <w:shd w:val="clear"/>
        <w:tabs>
          <w:tab w:val="left" w:pos="586"/>
          <w:tab w:val="left" w:pos="1440"/>
        </w:tabs>
        <w:kinsoku/>
        <w:wordWrap/>
        <w:overflowPunct w:val="0"/>
        <w:topLinePunct w:val="0"/>
        <w:autoSpaceDE/>
        <w:autoSpaceDN/>
        <w:bidi w:val="0"/>
        <w:adjustRightInd w:val="0"/>
        <w:snapToGrid/>
        <w:spacing w:beforeAutospacing="0" w:afterAutospacing="0" w:line="570" w:lineRule="exact"/>
        <w:ind w:firstLine="720" w:firstLineChars="200"/>
        <w:jc w:val="both"/>
        <w:textAlignment w:val="auto"/>
        <w:outlineLvl w:val="1"/>
        <w:rPr>
          <w:rFonts w:hint="default" w:ascii="Times New Roman" w:hAnsi="Times New Roman" w:eastAsia="仿宋_GB2312" w:cs="Times New Roman"/>
          <w:b w:val="0"/>
          <w:bCs w:val="0"/>
          <w:i w:val="0"/>
          <w:iCs w:val="0"/>
          <w:caps w:val="0"/>
          <w:color w:val="auto"/>
          <w:spacing w:val="20"/>
          <w:kern w:val="0"/>
          <w:sz w:val="32"/>
          <w:szCs w:val="32"/>
          <w:highlight w:val="none"/>
          <w:shd w:val="clear" w:fill="FFFFFF"/>
          <w:lang w:val="en-US" w:eastAsia="zh-CN" w:bidi="ar-SA"/>
        </w:rPr>
      </w:pPr>
      <w:r>
        <w:rPr>
          <w:rFonts w:hint="default" w:ascii="Times New Roman" w:hAnsi="Times New Roman" w:eastAsia="仿宋_GB2312" w:cs="Times New Roman"/>
          <w:b w:val="0"/>
          <w:bCs w:val="0"/>
          <w:i w:val="0"/>
          <w:iCs w:val="0"/>
          <w:caps w:val="0"/>
          <w:color w:val="auto"/>
          <w:spacing w:val="20"/>
          <w:kern w:val="0"/>
          <w:sz w:val="32"/>
          <w:szCs w:val="32"/>
          <w:highlight w:val="none"/>
          <w:shd w:val="clear" w:fill="FFFFFF"/>
          <w:lang w:val="en-US" w:eastAsia="zh-CN" w:bidi="ar-SA"/>
        </w:rPr>
        <w:t>今为切实解决企业群众的困难事、烦心事、揪心事，商城县政务服务中心不断探索更加快捷优质的政务服务举措，围绕“高效办成一件事”深化改革，将多个部门相关联的“单项事”整合为企业和群众视角的“一件事”，清单式推进“高效办成一件事”工作，真正做到“民有所呼、我有所应，民有所盼、我有所办”，大幅减少了办事环节、申请材料、办理时间和跑动次数，得到了企业群众的普遍认可。</w:t>
      </w:r>
    </w:p>
    <w:p>
      <w:pPr>
        <w:keepNext w:val="0"/>
        <w:keepLines w:val="0"/>
        <w:pageBreakBefore w:val="0"/>
        <w:widowControl w:val="0"/>
        <w:numPr>
          <w:ilvl w:val="0"/>
          <w:numId w:val="0"/>
        </w:numPr>
        <w:pBdr>
          <w:bottom w:val="single" w:color="FFFFFF" w:sz="4" w:space="30"/>
        </w:pBdr>
        <w:shd w:val="clear"/>
        <w:tabs>
          <w:tab w:val="left" w:pos="586"/>
          <w:tab w:val="left" w:pos="1440"/>
        </w:tabs>
        <w:kinsoku/>
        <w:wordWrap/>
        <w:overflowPunct w:val="0"/>
        <w:topLinePunct w:val="0"/>
        <w:autoSpaceDE/>
        <w:autoSpaceDN/>
        <w:bidi w:val="0"/>
        <w:adjustRightInd w:val="0"/>
        <w:snapToGrid/>
        <w:spacing w:beforeAutospacing="0" w:afterAutospacing="0" w:line="570" w:lineRule="exact"/>
        <w:ind w:firstLine="722" w:firstLineChars="200"/>
        <w:jc w:val="both"/>
        <w:textAlignment w:val="auto"/>
        <w:outlineLvl w:val="1"/>
        <w:rPr>
          <w:rFonts w:hint="eastAsia" w:ascii="Times New Roman" w:hAnsi="Times New Roman" w:eastAsia="仿宋_GB2312" w:cs="Times New Roman"/>
          <w:b/>
          <w:bCs/>
          <w:i w:val="0"/>
          <w:iCs w:val="0"/>
          <w:caps w:val="0"/>
          <w:color w:val="auto"/>
          <w:spacing w:val="20"/>
          <w:kern w:val="0"/>
          <w:sz w:val="32"/>
          <w:szCs w:val="32"/>
          <w:highlight w:val="none"/>
          <w:shd w:val="clear" w:fill="FFFFFF"/>
          <w:lang w:val="en-US" w:eastAsia="zh-CN" w:bidi="ar-SA"/>
        </w:rPr>
      </w:pPr>
      <w:r>
        <w:rPr>
          <w:rFonts w:hint="eastAsia" w:ascii="Times New Roman" w:hAnsi="Times New Roman" w:eastAsia="仿宋_GB2312" w:cs="Times New Roman"/>
          <w:b/>
          <w:bCs/>
          <w:i w:val="0"/>
          <w:iCs w:val="0"/>
          <w:caps w:val="0"/>
          <w:color w:val="auto"/>
          <w:spacing w:val="20"/>
          <w:kern w:val="0"/>
          <w:sz w:val="32"/>
          <w:szCs w:val="32"/>
          <w:highlight w:val="none"/>
          <w:shd w:val="clear" w:fill="FFFFFF"/>
          <w:lang w:val="en-US" w:eastAsia="zh-CN" w:bidi="ar-SA"/>
        </w:rPr>
        <w:t>3.社旗县：推行“五智”工作法 打造信用修复“免申即修”新模式</w:t>
      </w:r>
    </w:p>
    <w:p>
      <w:pPr>
        <w:keepNext w:val="0"/>
        <w:keepLines w:val="0"/>
        <w:pageBreakBefore w:val="0"/>
        <w:widowControl w:val="0"/>
        <w:numPr>
          <w:ilvl w:val="0"/>
          <w:numId w:val="0"/>
        </w:numPr>
        <w:pBdr>
          <w:bottom w:val="single" w:color="FFFFFF" w:sz="4" w:space="30"/>
        </w:pBdr>
        <w:shd w:val="clear"/>
        <w:tabs>
          <w:tab w:val="left" w:pos="586"/>
          <w:tab w:val="left" w:pos="1440"/>
        </w:tabs>
        <w:kinsoku/>
        <w:wordWrap/>
        <w:overflowPunct w:val="0"/>
        <w:topLinePunct w:val="0"/>
        <w:autoSpaceDE/>
        <w:autoSpaceDN/>
        <w:bidi w:val="0"/>
        <w:adjustRightInd w:val="0"/>
        <w:snapToGrid/>
        <w:spacing w:beforeAutospacing="0" w:afterAutospacing="0" w:line="570" w:lineRule="exact"/>
        <w:ind w:firstLine="720" w:firstLineChars="200"/>
        <w:jc w:val="both"/>
        <w:textAlignment w:val="auto"/>
        <w:outlineLvl w:val="1"/>
        <w:rPr>
          <w:rFonts w:hint="default"/>
          <w:highlight w:val="yellow"/>
          <w:lang w:val="en-US" w:eastAsia="zh-CN"/>
        </w:rPr>
      </w:pPr>
      <w:r>
        <w:rPr>
          <w:rFonts w:hint="default" w:ascii="Times New Roman" w:hAnsi="Times New Roman" w:eastAsia="仿宋_GB2312" w:cs="Times New Roman"/>
          <w:b w:val="0"/>
          <w:bCs w:val="0"/>
          <w:i w:val="0"/>
          <w:iCs w:val="0"/>
          <w:caps w:val="0"/>
          <w:color w:val="auto"/>
          <w:spacing w:val="20"/>
          <w:kern w:val="0"/>
          <w:sz w:val="32"/>
          <w:szCs w:val="32"/>
          <w:highlight w:val="none"/>
          <w:shd w:val="clear" w:fill="FFFFFF"/>
          <w:lang w:val="en-US" w:eastAsia="zh-CN" w:bidi="ar-SA"/>
        </w:rPr>
        <w:t>社旗县市场监管局聚焦市场主体信用修复堵点、痛点，创新推行“免申即修”信用修复机制，建立“筛选建档—精准告知—客服代办—放权审批—跟踪监管”全链条服务闭环，实现信用修复“零跑腿、零材料、零时差”，切实帮助市场主体纾困难、减负担、增效能。</w:t>
      </w:r>
    </w:p>
    <w:p>
      <w:pPr>
        <w:keepNext w:val="0"/>
        <w:keepLines w:val="0"/>
        <w:pageBreakBefore w:val="0"/>
        <w:widowControl w:val="0"/>
        <w:numPr>
          <w:ilvl w:val="0"/>
          <w:numId w:val="0"/>
        </w:numPr>
        <w:pBdr>
          <w:bottom w:val="single" w:color="FFFFFF" w:sz="4" w:space="30"/>
        </w:pBdr>
        <w:shd w:val="clear"/>
        <w:tabs>
          <w:tab w:val="left" w:pos="586"/>
          <w:tab w:val="left" w:pos="1440"/>
        </w:tabs>
        <w:kinsoku/>
        <w:wordWrap/>
        <w:overflowPunct w:val="0"/>
        <w:topLinePunct w:val="0"/>
        <w:autoSpaceDE/>
        <w:autoSpaceDN/>
        <w:bidi w:val="0"/>
        <w:adjustRightInd w:val="0"/>
        <w:snapToGrid/>
        <w:spacing w:beforeAutospacing="0" w:afterAutospacing="0" w:line="570" w:lineRule="exact"/>
        <w:ind w:firstLine="720" w:firstLineChars="200"/>
        <w:jc w:val="left"/>
        <w:textAlignment w:val="auto"/>
        <w:outlineLvl w:val="1"/>
        <w:rPr>
          <w:rFonts w:hint="eastAsia" w:ascii="黑体" w:hAnsi="黑体" w:eastAsia="黑体" w:cs="黑体"/>
          <w:b w:val="0"/>
          <w:bCs w:val="0"/>
          <w:i w:val="0"/>
          <w:iCs w:val="0"/>
          <w:caps w:val="0"/>
          <w:color w:val="auto"/>
          <w:spacing w:val="20"/>
          <w:kern w:val="0"/>
          <w:sz w:val="32"/>
          <w:szCs w:val="32"/>
          <w:highlight w:val="none"/>
          <w:shd w:val="clear" w:fill="FFFFFF"/>
          <w:lang w:val="en-US" w:eastAsia="zh-CN" w:bidi="ar-SA"/>
        </w:rPr>
      </w:pPr>
      <w:r>
        <w:rPr>
          <w:rFonts w:hint="eastAsia" w:ascii="黑体" w:hAnsi="黑体" w:eastAsia="黑体" w:cs="黑体"/>
          <w:b w:val="0"/>
          <w:bCs w:val="0"/>
          <w:i w:val="0"/>
          <w:iCs w:val="0"/>
          <w:caps w:val="0"/>
          <w:color w:val="auto"/>
          <w:spacing w:val="20"/>
          <w:kern w:val="0"/>
          <w:sz w:val="32"/>
          <w:szCs w:val="32"/>
          <w:highlight w:val="none"/>
          <w:shd w:val="clear" w:fill="FFFFFF"/>
          <w:lang w:val="en-US" w:eastAsia="zh-CN" w:bidi="ar-SA"/>
        </w:rPr>
        <w:t>五、红旗动态</w:t>
      </w:r>
    </w:p>
    <w:p>
      <w:pPr>
        <w:keepNext w:val="0"/>
        <w:keepLines w:val="0"/>
        <w:pageBreakBefore w:val="0"/>
        <w:widowControl w:val="0"/>
        <w:numPr>
          <w:ilvl w:val="0"/>
          <w:numId w:val="2"/>
        </w:numPr>
        <w:pBdr>
          <w:bottom w:val="single" w:color="FFFFFF" w:sz="4" w:space="30"/>
        </w:pBdr>
        <w:shd w:val="clear"/>
        <w:tabs>
          <w:tab w:val="left" w:pos="586"/>
          <w:tab w:val="left" w:pos="1440"/>
        </w:tabs>
        <w:kinsoku/>
        <w:wordWrap/>
        <w:overflowPunct w:val="0"/>
        <w:topLinePunct w:val="0"/>
        <w:autoSpaceDE/>
        <w:autoSpaceDN/>
        <w:bidi w:val="0"/>
        <w:adjustRightInd w:val="0"/>
        <w:snapToGrid/>
        <w:spacing w:beforeAutospacing="0" w:afterAutospacing="0" w:line="570" w:lineRule="exact"/>
        <w:ind w:firstLine="642" w:firstLineChars="200"/>
        <w:jc w:val="left"/>
        <w:textAlignment w:val="auto"/>
        <w:outlineLvl w:val="1"/>
        <w:rPr>
          <w:rFonts w:hint="eastAsia" w:ascii="楷体_GB2312" w:hAnsi="楷体_GB2312" w:eastAsia="楷体_GB2312" w:cs="楷体_GB2312"/>
          <w:b/>
          <w:bCs/>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各指标牵头单位</w:t>
      </w:r>
    </w:p>
    <w:p>
      <w:pPr>
        <w:keepNext w:val="0"/>
        <w:keepLines w:val="0"/>
        <w:pageBreakBefore w:val="0"/>
        <w:widowControl w:val="0"/>
        <w:numPr>
          <w:ilvl w:val="0"/>
          <w:numId w:val="0"/>
        </w:numPr>
        <w:pBdr>
          <w:bottom w:val="single" w:color="FFFFFF" w:sz="4" w:space="30"/>
        </w:pBdr>
        <w:shd w:val="clear"/>
        <w:tabs>
          <w:tab w:val="left" w:pos="586"/>
          <w:tab w:val="left" w:pos="1440"/>
        </w:tabs>
        <w:kinsoku/>
        <w:wordWrap/>
        <w:overflowPunct w:val="0"/>
        <w:topLinePunct w:val="0"/>
        <w:autoSpaceDE/>
        <w:autoSpaceDN/>
        <w:bidi w:val="0"/>
        <w:adjustRightInd w:val="0"/>
        <w:snapToGrid/>
        <w:spacing w:beforeAutospacing="0" w:afterAutospacing="0" w:line="570" w:lineRule="exact"/>
        <w:ind w:firstLine="722" w:firstLineChars="200"/>
        <w:jc w:val="both"/>
        <w:textAlignment w:val="auto"/>
        <w:outlineLvl w:val="1"/>
        <w:rPr>
          <w:rFonts w:hint="eastAsia" w:ascii="Times New Roman" w:hAnsi="Times New Roman" w:eastAsia="仿宋_GB2312" w:cs="Times New Roman"/>
          <w:b/>
          <w:bCs/>
          <w:i w:val="0"/>
          <w:iCs w:val="0"/>
          <w:caps w:val="0"/>
          <w:color w:val="auto"/>
          <w:spacing w:val="20"/>
          <w:kern w:val="0"/>
          <w:sz w:val="32"/>
          <w:szCs w:val="32"/>
          <w:highlight w:val="none"/>
          <w:shd w:val="clear" w:fill="FFFFFF"/>
          <w:lang w:val="en-US" w:eastAsia="zh-CN" w:bidi="ar-SA"/>
        </w:rPr>
      </w:pPr>
      <w:r>
        <w:rPr>
          <w:rFonts w:hint="eastAsia" w:ascii="Times New Roman" w:hAnsi="Times New Roman" w:eastAsia="仿宋_GB2312" w:cs="Times New Roman"/>
          <w:b/>
          <w:bCs/>
          <w:i w:val="0"/>
          <w:iCs w:val="0"/>
          <w:caps w:val="0"/>
          <w:color w:val="auto"/>
          <w:spacing w:val="20"/>
          <w:kern w:val="0"/>
          <w:sz w:val="32"/>
          <w:szCs w:val="32"/>
          <w:highlight w:val="none"/>
          <w:shd w:val="clear" w:fill="FFFFFF"/>
          <w:lang w:val="en-US" w:eastAsia="zh-CN" w:bidi="ar-SA"/>
        </w:rPr>
        <w:t>1.红旗区法院：红旗区信用修复“一件事” 助力企业增信减负</w:t>
      </w:r>
    </w:p>
    <w:p>
      <w:pPr>
        <w:keepNext w:val="0"/>
        <w:keepLines w:val="0"/>
        <w:pageBreakBefore w:val="0"/>
        <w:widowControl/>
        <w:numPr>
          <w:ilvl w:val="0"/>
          <w:numId w:val="0"/>
        </w:numPr>
        <w:pBdr>
          <w:bottom w:val="single" w:color="FFFFFF" w:sz="4" w:space="30"/>
        </w:pBdr>
        <w:shd w:val="clear"/>
        <w:tabs>
          <w:tab w:val="left" w:pos="586"/>
          <w:tab w:val="left" w:pos="1440"/>
        </w:tabs>
        <w:kinsoku/>
        <w:wordWrap/>
        <w:overflowPunct w:val="0"/>
        <w:topLinePunct w:val="0"/>
        <w:autoSpaceDE/>
        <w:autoSpaceDN/>
        <w:bidi w:val="0"/>
        <w:adjustRightInd w:val="0"/>
        <w:snapToGrid w:val="0"/>
        <w:spacing w:beforeAutospacing="0" w:afterAutospacing="0" w:line="570" w:lineRule="exact"/>
        <w:ind w:firstLine="720" w:firstLineChars="200"/>
        <w:jc w:val="both"/>
        <w:textAlignment w:val="auto"/>
        <w:outlineLvl w:val="1"/>
        <w:rPr>
          <w:rFonts w:hint="default" w:ascii="Times New Roman" w:hAnsi="Times New Roman" w:eastAsia="仿宋_GB2312" w:cs="Times New Roman"/>
          <w:b w:val="0"/>
          <w:bCs w:val="0"/>
          <w:i w:val="0"/>
          <w:iCs w:val="0"/>
          <w:caps w:val="0"/>
          <w:color w:val="auto"/>
          <w:spacing w:val="20"/>
          <w:kern w:val="0"/>
          <w:sz w:val="32"/>
          <w:szCs w:val="32"/>
          <w:highlight w:val="yellow"/>
          <w:shd w:val="clear" w:fill="FFFFFF"/>
          <w:lang w:val="en-US" w:eastAsia="zh-CN" w:bidi="ar-SA"/>
        </w:rPr>
      </w:pPr>
      <w:r>
        <w:rPr>
          <w:rFonts w:hint="default" w:ascii="Times New Roman" w:hAnsi="Times New Roman" w:eastAsia="仿宋_GB2312" w:cs="Times New Roman"/>
          <w:b w:val="0"/>
          <w:bCs w:val="0"/>
          <w:i w:val="0"/>
          <w:iCs w:val="0"/>
          <w:caps w:val="0"/>
          <w:color w:val="auto"/>
          <w:spacing w:val="20"/>
          <w:kern w:val="0"/>
          <w:sz w:val="32"/>
          <w:szCs w:val="32"/>
          <w:highlight w:val="none"/>
          <w:shd w:val="clear" w:fill="FFFFFF"/>
          <w:lang w:val="en-US" w:eastAsia="zh-CN" w:bidi="ar-SA"/>
        </w:rPr>
        <w:t>近日，新乡市红旗区人民法院通过诉中调解机制，成功化解一起涉企债务纠纷，既保障了原告企业的合法权益，又为被告企业缓解了经营压力，实现了双方共赢的良好局面。2023年起，某汽车维修公司为一家机械设备制造公司的多辆机动车提供维修服务，累计产生费用2万余元。然而，被告公司屡次推脱付款，原告多次沟通未果，无奈诉至红旗区人民法院，要求维护自身权益。受理案件后，承办法官发现本案事实清楚，但双方矛盾焦点集中在发票开具和一次性付款能力上。考虑到两家企业曾有合作基础，且诉讼可能影响双方经营，法院决定启动诉中调解机制，组织专业调解员介入，推动纠纷高效化解。调解过程中，法官与调解员耐心释法明理，向被告阐明失信风险和法律后果，引导其主动履行义务，同时协助原告理解被告经营实际，提出分期付款的灵活方案，最终促成双方达成一致意见：被告分两期支付欠款，原告收到全款后开具发票。这起纠纷的化解不仅避免了企业陷入漫长的诉讼拉锯战，还维护了双方的合作关系，真正实现了原告权益有保障、被告经营无负担的双赢局面。</w:t>
      </w:r>
    </w:p>
    <w:p>
      <w:pPr>
        <w:keepNext w:val="0"/>
        <w:keepLines w:val="0"/>
        <w:pageBreakBefore w:val="0"/>
        <w:widowControl/>
        <w:numPr>
          <w:ilvl w:val="0"/>
          <w:numId w:val="2"/>
        </w:numPr>
        <w:pBdr>
          <w:bottom w:val="single" w:color="FFFFFF" w:sz="4" w:space="30"/>
        </w:pBdr>
        <w:shd w:val="clear"/>
        <w:tabs>
          <w:tab w:val="left" w:pos="586"/>
          <w:tab w:val="left" w:pos="1440"/>
        </w:tabs>
        <w:kinsoku/>
        <w:wordWrap/>
        <w:overflowPunct w:val="0"/>
        <w:topLinePunct w:val="0"/>
        <w:autoSpaceDE/>
        <w:autoSpaceDN/>
        <w:bidi w:val="0"/>
        <w:adjustRightInd w:val="0"/>
        <w:snapToGrid w:val="0"/>
        <w:spacing w:beforeAutospacing="0" w:afterAutospacing="0" w:line="570" w:lineRule="exact"/>
        <w:ind w:left="0" w:leftChars="0" w:firstLine="642" w:firstLineChars="200"/>
        <w:jc w:val="left"/>
        <w:textAlignment w:val="auto"/>
        <w:outlineLvl w:val="1"/>
        <w:rPr>
          <w:rFonts w:hint="eastAsia" w:ascii="楷体_GB2312" w:hAnsi="楷体_GB2312" w:eastAsia="楷体_GB2312" w:cs="楷体_GB2312"/>
          <w:b/>
          <w:bCs/>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各配合单位</w:t>
      </w:r>
    </w:p>
    <w:p>
      <w:pPr>
        <w:keepNext w:val="0"/>
        <w:keepLines w:val="0"/>
        <w:pageBreakBefore w:val="0"/>
        <w:widowControl/>
        <w:numPr>
          <w:ilvl w:val="0"/>
          <w:numId w:val="0"/>
        </w:numPr>
        <w:pBdr>
          <w:bottom w:val="single" w:color="FFFFFF" w:sz="4" w:space="30"/>
        </w:pBdr>
        <w:shd w:val="clear"/>
        <w:tabs>
          <w:tab w:val="left" w:pos="586"/>
          <w:tab w:val="left" w:pos="1440"/>
        </w:tabs>
        <w:kinsoku/>
        <w:wordWrap/>
        <w:overflowPunct w:val="0"/>
        <w:topLinePunct w:val="0"/>
        <w:autoSpaceDE/>
        <w:autoSpaceDN/>
        <w:bidi w:val="0"/>
        <w:adjustRightInd w:val="0"/>
        <w:snapToGrid w:val="0"/>
        <w:spacing w:beforeAutospacing="0" w:afterAutospacing="0" w:line="570" w:lineRule="exact"/>
        <w:ind w:firstLine="722" w:firstLineChars="200"/>
        <w:jc w:val="left"/>
        <w:textAlignment w:val="auto"/>
        <w:outlineLvl w:val="1"/>
        <w:rPr>
          <w:rFonts w:hint="eastAsia" w:ascii="Times New Roman" w:hAnsi="Times New Roman" w:eastAsia="仿宋_GB2312" w:cs="Times New Roman"/>
          <w:b/>
          <w:bCs/>
          <w:i w:val="0"/>
          <w:iCs w:val="0"/>
          <w:caps w:val="0"/>
          <w:color w:val="auto"/>
          <w:spacing w:val="20"/>
          <w:kern w:val="0"/>
          <w:sz w:val="32"/>
          <w:szCs w:val="32"/>
          <w:highlight w:val="none"/>
          <w:shd w:val="clear" w:fill="FFFFFF"/>
          <w:lang w:val="en-US" w:eastAsia="zh-CN" w:bidi="ar-SA"/>
        </w:rPr>
      </w:pPr>
      <w:r>
        <w:rPr>
          <w:rFonts w:hint="eastAsia" w:ascii="Times New Roman" w:hAnsi="Times New Roman" w:eastAsia="仿宋_GB2312" w:cs="Times New Roman"/>
          <w:b/>
          <w:bCs/>
          <w:i w:val="0"/>
          <w:iCs w:val="0"/>
          <w:caps w:val="0"/>
          <w:color w:val="auto"/>
          <w:spacing w:val="20"/>
          <w:kern w:val="0"/>
          <w:sz w:val="32"/>
          <w:szCs w:val="32"/>
          <w:highlight w:val="none"/>
          <w:shd w:val="clear" w:fill="FFFFFF"/>
          <w:lang w:val="en-US" w:eastAsia="zh-CN" w:bidi="ar-SA"/>
        </w:rPr>
        <w:t>1.红旗区人社局：举办人力资源和劳务派遣服务机构业务政策专项培训会</w:t>
      </w:r>
    </w:p>
    <w:p>
      <w:pPr>
        <w:keepNext w:val="0"/>
        <w:keepLines w:val="0"/>
        <w:pageBreakBefore w:val="0"/>
        <w:widowControl/>
        <w:numPr>
          <w:ilvl w:val="0"/>
          <w:numId w:val="0"/>
        </w:numPr>
        <w:pBdr>
          <w:bottom w:val="single" w:color="FFFFFF" w:sz="4" w:space="30"/>
        </w:pBdr>
        <w:shd w:val="clear"/>
        <w:tabs>
          <w:tab w:val="left" w:pos="586"/>
          <w:tab w:val="left" w:pos="1440"/>
        </w:tabs>
        <w:kinsoku/>
        <w:wordWrap/>
        <w:overflowPunct w:val="0"/>
        <w:topLinePunct w:val="0"/>
        <w:autoSpaceDE/>
        <w:autoSpaceDN/>
        <w:bidi w:val="0"/>
        <w:adjustRightInd w:val="0"/>
        <w:snapToGrid w:val="0"/>
        <w:spacing w:beforeAutospacing="0" w:afterAutospacing="0" w:line="570" w:lineRule="exact"/>
        <w:ind w:firstLine="720" w:firstLineChars="200"/>
        <w:jc w:val="both"/>
        <w:textAlignment w:val="auto"/>
        <w:outlineLvl w:val="1"/>
        <w:rPr>
          <w:rFonts w:hint="eastAsia" w:ascii="Times New Roman" w:hAnsi="Times New Roman" w:eastAsia="仿宋_GB2312" w:cs="Times New Roman"/>
          <w:b w:val="0"/>
          <w:bCs w:val="0"/>
          <w:i w:val="0"/>
          <w:iCs w:val="0"/>
          <w:caps w:val="0"/>
          <w:color w:val="auto"/>
          <w:spacing w:val="20"/>
          <w:kern w:val="0"/>
          <w:sz w:val="32"/>
          <w:szCs w:val="32"/>
          <w:highlight w:val="none"/>
          <w:shd w:val="clear" w:fill="FFFFFF"/>
          <w:lang w:val="en-US" w:eastAsia="zh-CN" w:bidi="ar-SA"/>
        </w:rPr>
      </w:pPr>
      <w:r>
        <w:rPr>
          <w:rFonts w:hint="eastAsia" w:ascii="Times New Roman" w:hAnsi="Times New Roman" w:eastAsia="仿宋_GB2312" w:cs="Times New Roman"/>
          <w:b w:val="0"/>
          <w:bCs w:val="0"/>
          <w:i w:val="0"/>
          <w:iCs w:val="0"/>
          <w:caps w:val="0"/>
          <w:color w:val="auto"/>
          <w:spacing w:val="20"/>
          <w:kern w:val="0"/>
          <w:sz w:val="32"/>
          <w:szCs w:val="32"/>
          <w:highlight w:val="none"/>
          <w:shd w:val="clear" w:fill="FFFFFF"/>
          <w:lang w:val="en-US" w:eastAsia="zh-CN" w:bidi="ar-SA"/>
        </w:rPr>
        <w:t>为进一步提升我区劳务派遣和人力资源服务机构的业务水平，优化行业服务流程，加强行业规范管理。近日，区人社局组织召开劳务派遣和人力资源服务机构业务培训会。此次培训会邀请辖区14家劳务派遣和人力资源服务机构的负责人及业务骨干参加。会上，区人社局和区社保中心业务科室相关工作人员从就业创业政策，社保政策、企业退休审批、消防安全生产、劳动用工风险、人力资源和劳务派遣机构合规经营等多个维度，进行了详细阐述，督促企业合规经营，切实保障劳动者的合法权益。下一步，区人社局将持续抓好学习培训，强化政策宣传、提高审查效率，不断提升服务质量，推动行业实现规范用工和诚信服务，共同营造一个和谐稳定的劳动环境。</w:t>
      </w:r>
    </w:p>
    <w:p>
      <w:pPr>
        <w:keepNext w:val="0"/>
        <w:keepLines w:val="0"/>
        <w:pageBreakBefore w:val="0"/>
        <w:widowControl/>
        <w:numPr>
          <w:ilvl w:val="0"/>
          <w:numId w:val="0"/>
        </w:numPr>
        <w:pBdr>
          <w:bottom w:val="single" w:color="FFFFFF" w:sz="4" w:space="30"/>
        </w:pBdr>
        <w:shd w:val="clear"/>
        <w:tabs>
          <w:tab w:val="left" w:pos="586"/>
          <w:tab w:val="left" w:pos="1440"/>
        </w:tabs>
        <w:kinsoku/>
        <w:wordWrap/>
        <w:overflowPunct w:val="0"/>
        <w:topLinePunct w:val="0"/>
        <w:autoSpaceDE/>
        <w:autoSpaceDN/>
        <w:bidi w:val="0"/>
        <w:adjustRightInd w:val="0"/>
        <w:snapToGrid w:val="0"/>
        <w:spacing w:beforeAutospacing="0" w:afterAutospacing="0" w:line="570" w:lineRule="exact"/>
        <w:ind w:firstLine="642" w:firstLineChars="200"/>
        <w:jc w:val="left"/>
        <w:textAlignment w:val="auto"/>
        <w:outlineLvl w:val="1"/>
        <w:rPr>
          <w:rFonts w:hint="eastAsia" w:ascii="Times New Roman" w:hAnsi="Times New Roman" w:eastAsia="仿宋_GB2312" w:cs="Times New Roman"/>
          <w:b/>
          <w:bCs/>
          <w:i w:val="0"/>
          <w:iCs w:val="0"/>
          <w:caps w:val="0"/>
          <w:color w:val="auto"/>
          <w:spacing w:val="20"/>
          <w:kern w:val="0"/>
          <w:sz w:val="32"/>
          <w:szCs w:val="32"/>
          <w:highlight w:val="none"/>
          <w:shd w:val="clear" w:fill="FFFFFF"/>
          <w:lang w:val="en-US" w:eastAsia="zh-CN" w:bidi="ar-SA"/>
        </w:rPr>
      </w:pPr>
      <w:r>
        <w:rPr>
          <w:rFonts w:hint="eastAsia" w:ascii="楷体_GB2312" w:hAnsi="楷体_GB2312" w:eastAsia="楷体_GB2312" w:cs="楷体_GB2312"/>
          <w:b/>
          <w:bCs/>
          <w:color w:val="auto"/>
          <w:sz w:val="32"/>
          <w:szCs w:val="32"/>
          <w:highlight w:val="none"/>
          <w:lang w:val="en-US" w:eastAsia="zh-CN" w:bidi="ar-SA"/>
        </w:rPr>
        <w:t>（三）各镇办、红开区</w:t>
      </w:r>
    </w:p>
    <w:p>
      <w:pPr>
        <w:keepNext w:val="0"/>
        <w:keepLines w:val="0"/>
        <w:pageBreakBefore w:val="0"/>
        <w:widowControl w:val="0"/>
        <w:numPr>
          <w:ilvl w:val="0"/>
          <w:numId w:val="0"/>
        </w:numPr>
        <w:pBdr>
          <w:bottom w:val="single" w:color="FFFFFF" w:sz="4" w:space="30"/>
        </w:pBdr>
        <w:shd w:val="clear"/>
        <w:tabs>
          <w:tab w:val="left" w:pos="586"/>
          <w:tab w:val="left" w:pos="1440"/>
        </w:tabs>
        <w:kinsoku/>
        <w:wordWrap/>
        <w:overflowPunct w:val="0"/>
        <w:topLinePunct w:val="0"/>
        <w:autoSpaceDE/>
        <w:autoSpaceDN/>
        <w:bidi w:val="0"/>
        <w:adjustRightInd w:val="0"/>
        <w:snapToGrid/>
        <w:spacing w:beforeAutospacing="0" w:afterAutospacing="0" w:line="570" w:lineRule="exact"/>
        <w:ind w:firstLine="722" w:firstLineChars="200"/>
        <w:jc w:val="both"/>
        <w:textAlignment w:val="auto"/>
        <w:outlineLvl w:val="1"/>
        <w:rPr>
          <w:rFonts w:hint="eastAsia" w:ascii="Times New Roman" w:hAnsi="Times New Roman" w:eastAsia="仿宋_GB2312" w:cs="Times New Roman"/>
          <w:b/>
          <w:bCs/>
          <w:i w:val="0"/>
          <w:iCs w:val="0"/>
          <w:caps w:val="0"/>
          <w:color w:val="auto"/>
          <w:spacing w:val="20"/>
          <w:kern w:val="0"/>
          <w:sz w:val="32"/>
          <w:szCs w:val="32"/>
          <w:highlight w:val="none"/>
          <w:shd w:val="clear" w:fill="FFFFFF"/>
          <w:lang w:val="en-US" w:eastAsia="zh-CN" w:bidi="ar-SA"/>
        </w:rPr>
      </w:pPr>
      <w:r>
        <w:rPr>
          <w:rFonts w:hint="eastAsia" w:ascii="Times New Roman" w:hAnsi="Times New Roman" w:eastAsia="仿宋_GB2312" w:cs="Times New Roman"/>
          <w:b/>
          <w:bCs/>
          <w:i w:val="0"/>
          <w:iCs w:val="0"/>
          <w:caps w:val="0"/>
          <w:color w:val="auto"/>
          <w:spacing w:val="20"/>
          <w:kern w:val="0"/>
          <w:sz w:val="32"/>
          <w:szCs w:val="32"/>
          <w:highlight w:val="none"/>
          <w:shd w:val="clear" w:fill="FFFFFF"/>
          <w:lang w:val="en-US" w:eastAsia="zh-CN" w:bidi="ar-SA"/>
        </w:rPr>
        <w:t>1.向阳街道办事处：推进企业诚信宣传与信用服务工作</w:t>
      </w:r>
    </w:p>
    <w:p>
      <w:pPr>
        <w:keepNext w:val="0"/>
        <w:keepLines w:val="0"/>
        <w:pageBreakBefore w:val="0"/>
        <w:widowControl w:val="0"/>
        <w:numPr>
          <w:ilvl w:val="0"/>
          <w:numId w:val="0"/>
        </w:numPr>
        <w:pBdr>
          <w:bottom w:val="single" w:color="FFFFFF" w:sz="4" w:space="30"/>
        </w:pBdr>
        <w:shd w:val="clear"/>
        <w:tabs>
          <w:tab w:val="left" w:pos="586"/>
          <w:tab w:val="left" w:pos="1440"/>
        </w:tabs>
        <w:kinsoku/>
        <w:wordWrap/>
        <w:overflowPunct w:val="0"/>
        <w:topLinePunct w:val="0"/>
        <w:autoSpaceDE/>
        <w:autoSpaceDN/>
        <w:bidi w:val="0"/>
        <w:adjustRightInd w:val="0"/>
        <w:snapToGrid/>
        <w:spacing w:beforeAutospacing="0" w:afterAutospacing="0" w:line="570" w:lineRule="exact"/>
        <w:ind w:firstLine="720" w:firstLineChars="200"/>
        <w:jc w:val="both"/>
        <w:textAlignment w:val="auto"/>
        <w:outlineLvl w:val="1"/>
        <w:rPr>
          <w:rFonts w:hint="default" w:ascii="Times New Roman" w:hAnsi="Times New Roman" w:eastAsia="仿宋_GB2312" w:cs="Times New Roman"/>
          <w:b w:val="0"/>
          <w:bCs w:val="0"/>
          <w:i w:val="0"/>
          <w:iCs w:val="0"/>
          <w:caps w:val="0"/>
          <w:color w:val="auto"/>
          <w:spacing w:val="20"/>
          <w:kern w:val="0"/>
          <w:sz w:val="32"/>
          <w:szCs w:val="32"/>
          <w:highlight w:val="none"/>
          <w:shd w:val="clear" w:fill="FFFFFF"/>
          <w:lang w:val="en-US" w:eastAsia="zh-CN" w:bidi="ar-SA"/>
        </w:rPr>
      </w:pPr>
      <w:r>
        <w:rPr>
          <w:rFonts w:hint="default" w:ascii="Times New Roman" w:hAnsi="Times New Roman" w:eastAsia="仿宋_GB2312" w:cs="Times New Roman"/>
          <w:b w:val="0"/>
          <w:bCs w:val="0"/>
          <w:i w:val="0"/>
          <w:iCs w:val="0"/>
          <w:caps w:val="0"/>
          <w:color w:val="auto"/>
          <w:spacing w:val="20"/>
          <w:kern w:val="0"/>
          <w:sz w:val="32"/>
          <w:szCs w:val="32"/>
          <w:highlight w:val="none"/>
          <w:shd w:val="clear" w:fill="FFFFFF"/>
          <w:lang w:val="en-US" w:eastAsia="zh-CN" w:bidi="ar-SA"/>
        </w:rPr>
        <w:t>近日，红旗区向阳街道办事处常务副主任许璞和河南科技学院专家教授走进潞旺胶粘公司，为企业送上量身定制的“一企一策”定制化政策服务，针对企业需求，开展涵盖政策匹配、校地合作及企业培育等方面服务。为确保政策红利能够真正惠及企业，该街道把优化营商环境、深化企业服务从“雾里看花觅政策”升级成“智能画像助发展”，通过专人服务对接、企业需求收集、行业数据画像、政策量身定制等方式，打通国家、省、市和区各级惠企政策落地的“最后一公里”。向阳街道的“一企一策”式服务贯穿企业全生命周期，成为辖区企业加快发展的有力推手。连日来，运通智慧电商产业园项目现场施工正在加紧推进。项目建成投产后，将打造大数据整合中心、电商直播培训销售平台、互联网货物仓储平台、互联网物流平台、互联网商务服务平台、互联网大数据服务平台、运营管理总部以及智能化仓配中心、结算中心等。此外，该项目将常态化运营无人配送车，试点低空无人飞行器配送，探索我市“低空经济”发展新模式。该项目的顺利推进，离不开向阳街道从项目前期投资接洽阶段到项目手续办理、建设过程中的精准服务。随着主体施工加紧推进，向阳街道同步为企业积极争取物流运输补贴等惠企政策，服务贯穿项目接洽、在建、投产和发展的全过程。目前，向阳街道对接科技、商务、工信、交通等局委，协同研判政策，动态梳理企业资质、经营数据与行业特征，针对性匹配政策工具，初步形成“部门联动谋政策、数据跑腿送政策、企业专注用政策”的高质量发展新格局，实现“多对一”集成化精准政策推送和惠企红利最大化释放。 </w:t>
      </w:r>
    </w:p>
    <w:p>
      <w:pPr>
        <w:rPr>
          <w:rFonts w:hint="default"/>
          <w:sz w:val="24"/>
          <w:szCs w:val="24"/>
          <w:highlight w:val="none"/>
          <w:lang w:val="en-US" w:eastAsia="zh-CN"/>
        </w:rPr>
      </w:pPr>
    </w:p>
    <w:p>
      <w:pPr>
        <w:pStyle w:val="7"/>
        <w:rPr>
          <w:rFonts w:hint="eastAsia" w:ascii="Times New Roman" w:hAnsi="Times New Roman" w:eastAsia="仿宋_GB2312" w:cs="Times New Roman"/>
          <w:b w:val="0"/>
          <w:bCs w:val="0"/>
          <w:i w:val="0"/>
          <w:iCs w:val="0"/>
          <w:caps w:val="0"/>
          <w:color w:val="auto"/>
          <w:spacing w:val="20"/>
          <w:kern w:val="0"/>
          <w:sz w:val="32"/>
          <w:szCs w:val="32"/>
          <w:highlight w:val="none"/>
          <w:shd w:val="clear" w:fill="FFFFFF"/>
          <w:lang w:val="en-US" w:eastAsia="zh-CN" w:bidi="ar-SA"/>
        </w:rPr>
      </w:pPr>
    </w:p>
    <w:p>
      <w:pPr>
        <w:pStyle w:val="7"/>
        <w:ind w:firstLine="2520" w:firstLineChars="700"/>
        <w:rPr>
          <w:rFonts w:hint="eastAsia" w:ascii="Times New Roman" w:hAnsi="Times New Roman" w:eastAsia="仿宋_GB2312" w:cs="Times New Roman"/>
          <w:b w:val="0"/>
          <w:bCs w:val="0"/>
          <w:i w:val="0"/>
          <w:iCs w:val="0"/>
          <w:caps w:val="0"/>
          <w:color w:val="auto"/>
          <w:spacing w:val="20"/>
          <w:kern w:val="0"/>
          <w:sz w:val="32"/>
          <w:szCs w:val="32"/>
          <w:highlight w:val="none"/>
          <w:shd w:val="clear" w:fill="FFFFFF"/>
          <w:lang w:val="en-US" w:eastAsia="zh-CN" w:bidi="ar-SA"/>
        </w:rPr>
      </w:pPr>
    </w:p>
    <w:p>
      <w:pPr>
        <w:pStyle w:val="7"/>
        <w:ind w:firstLine="2520" w:firstLineChars="700"/>
        <w:rPr>
          <w:rFonts w:hint="eastAsia" w:ascii="Times New Roman" w:hAnsi="Times New Roman" w:eastAsia="仿宋_GB2312" w:cs="Times New Roman"/>
          <w:b w:val="0"/>
          <w:bCs w:val="0"/>
          <w:i w:val="0"/>
          <w:iCs w:val="0"/>
          <w:caps w:val="0"/>
          <w:color w:val="auto"/>
          <w:spacing w:val="20"/>
          <w:kern w:val="0"/>
          <w:sz w:val="32"/>
          <w:szCs w:val="32"/>
          <w:highlight w:val="none"/>
          <w:shd w:val="clear" w:fill="FFFFFF"/>
          <w:lang w:val="en-US" w:eastAsia="zh-CN" w:bidi="ar-SA"/>
        </w:rPr>
      </w:pPr>
    </w:p>
    <w:p>
      <w:pPr>
        <w:pStyle w:val="7"/>
        <w:ind w:firstLine="2520" w:firstLineChars="700"/>
        <w:rPr>
          <w:rFonts w:hint="eastAsia" w:ascii="Times New Roman" w:hAnsi="Times New Roman" w:eastAsia="仿宋_GB2312" w:cs="Times New Roman"/>
          <w:b w:val="0"/>
          <w:bCs w:val="0"/>
          <w:i w:val="0"/>
          <w:iCs w:val="0"/>
          <w:caps w:val="0"/>
          <w:color w:val="auto"/>
          <w:spacing w:val="20"/>
          <w:kern w:val="0"/>
          <w:sz w:val="32"/>
          <w:szCs w:val="32"/>
          <w:highlight w:val="none"/>
          <w:shd w:val="clear" w:fill="FFFFFF"/>
          <w:lang w:val="en-US" w:eastAsia="zh-CN" w:bidi="ar-SA"/>
        </w:rPr>
      </w:pPr>
    </w:p>
    <w:tbl>
      <w:tblPr>
        <w:tblStyle w:val="16"/>
        <w:tblpPr w:leftFromText="181" w:rightFromText="181" w:vertAnchor="page" w:horzAnchor="page" w:tblpX="1485" w:tblpY="14090"/>
        <w:tblOverlap w:val="never"/>
        <w:tblW w:w="8983" w:type="dxa"/>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83"/>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8983" w:type="dxa"/>
            <w:tcBorders>
              <w:tl2br w:val="nil"/>
              <w:tr2bl w:val="nil"/>
            </w:tcBorders>
            <w:shd w:val="clear" w:color="auto" w:fill="auto"/>
            <w:vAlign w:val="center"/>
          </w:tcPr>
          <w:p>
            <w:pPr>
              <w:keepNext w:val="0"/>
              <w:keepLines w:val="0"/>
              <w:pageBreakBefore w:val="0"/>
              <w:widowControl/>
              <w:shd w:val="clear"/>
              <w:kinsoku/>
              <w:wordWrap/>
              <w:topLinePunct w:val="0"/>
              <w:bidi w:val="0"/>
              <w:spacing w:line="570" w:lineRule="exact"/>
              <w:jc w:val="left"/>
              <w:textAlignment w:val="auto"/>
              <w:rPr>
                <w:rFonts w:hint="default" w:ascii="Times New Roman" w:hAnsi="Times New Roman" w:eastAsia="仿宋_GB2312" w:cs="Times New Roman"/>
                <w:sz w:val="28"/>
                <w:szCs w:val="28"/>
                <w:highlight w:val="none"/>
                <w:lang w:eastAsia="zh-CN" w:bidi="ar"/>
              </w:rPr>
            </w:pPr>
            <w:r>
              <w:rPr>
                <w:rFonts w:hint="default" w:ascii="Times New Roman" w:hAnsi="Times New Roman" w:eastAsia="仿宋_GB2312" w:cs="Times New Roman"/>
                <w:color w:val="auto"/>
                <w:highlight w:val="none"/>
                <w:shd w:val="clear"/>
              </w:rPr>
              <w:br w:type="page"/>
            </w:r>
            <w:r>
              <w:rPr>
                <w:rFonts w:hint="default" w:ascii="Times New Roman" w:hAnsi="Times New Roman" w:eastAsia="仿宋_GB2312" w:cs="Times New Roman"/>
                <w:color w:val="auto"/>
                <w:spacing w:val="-6"/>
                <w:sz w:val="28"/>
                <w:szCs w:val="28"/>
                <w:highlight w:val="none"/>
                <w:shd w:val="clear"/>
                <w:lang w:bidi="ar"/>
              </w:rPr>
              <w:t>红旗区优化营商环境</w:t>
            </w:r>
            <w:r>
              <w:rPr>
                <w:rFonts w:hint="default" w:ascii="Times New Roman" w:hAnsi="Times New Roman" w:eastAsia="仿宋_GB2312" w:cs="Times New Roman"/>
                <w:color w:val="auto"/>
                <w:spacing w:val="-6"/>
                <w:sz w:val="28"/>
                <w:szCs w:val="28"/>
                <w:highlight w:val="none"/>
                <w:shd w:val="clear"/>
                <w:lang w:eastAsia="zh-CN" w:bidi="ar"/>
              </w:rPr>
              <w:t>服务中心</w:t>
            </w:r>
            <w:r>
              <w:rPr>
                <w:rFonts w:hint="default" w:ascii="Times New Roman" w:hAnsi="Times New Roman" w:eastAsia="仿宋_GB2312" w:cs="Times New Roman"/>
                <w:color w:val="auto"/>
                <w:spacing w:val="-6"/>
                <w:sz w:val="28"/>
                <w:szCs w:val="28"/>
                <w:highlight w:val="none"/>
                <w:shd w:val="clear"/>
                <w:lang w:bidi="ar"/>
              </w:rPr>
              <w:t xml:space="preserve"> </w:t>
            </w:r>
            <w:r>
              <w:rPr>
                <w:rFonts w:hint="default" w:ascii="Times New Roman" w:hAnsi="Times New Roman" w:eastAsia="仿宋_GB2312" w:cs="Times New Roman"/>
                <w:color w:val="auto"/>
                <w:spacing w:val="-6"/>
                <w:sz w:val="28"/>
                <w:szCs w:val="28"/>
                <w:highlight w:val="none"/>
                <w:shd w:val="clear"/>
                <w:lang w:val="en-US" w:eastAsia="zh-CN" w:bidi="ar"/>
              </w:rPr>
              <w:t xml:space="preserve">                  </w:t>
            </w:r>
            <w:r>
              <w:rPr>
                <w:rFonts w:hint="eastAsia" w:ascii="Times New Roman" w:hAnsi="Times New Roman" w:eastAsia="仿宋_GB2312" w:cs="Times New Roman"/>
                <w:color w:val="auto"/>
                <w:spacing w:val="-6"/>
                <w:sz w:val="28"/>
                <w:szCs w:val="28"/>
                <w:highlight w:val="none"/>
                <w:shd w:val="clear"/>
                <w:lang w:val="en-US" w:eastAsia="zh-CN" w:bidi="ar"/>
              </w:rPr>
              <w:t xml:space="preserve"> </w:t>
            </w:r>
            <w:r>
              <w:rPr>
                <w:rFonts w:hint="default" w:ascii="Times New Roman" w:hAnsi="Times New Roman" w:eastAsia="仿宋_GB2312" w:cs="Times New Roman"/>
                <w:color w:val="auto"/>
                <w:spacing w:val="-6"/>
                <w:sz w:val="28"/>
                <w:szCs w:val="28"/>
                <w:highlight w:val="none"/>
                <w:shd w:val="clear"/>
                <w:lang w:val="en-US" w:eastAsia="zh-CN" w:bidi="ar"/>
              </w:rPr>
              <w:t xml:space="preserve"> </w:t>
            </w:r>
            <w:r>
              <w:rPr>
                <w:rFonts w:hint="default" w:ascii="Times New Roman" w:hAnsi="Times New Roman" w:eastAsia="仿宋_GB2312" w:cs="Times New Roman"/>
                <w:b w:val="0"/>
                <w:bCs w:val="0"/>
                <w:i w:val="0"/>
                <w:iCs w:val="0"/>
                <w:caps w:val="0"/>
                <w:color w:val="auto"/>
                <w:spacing w:val="20"/>
                <w:sz w:val="28"/>
                <w:szCs w:val="28"/>
                <w:highlight w:val="none"/>
                <w:shd w:val="clear"/>
                <w:lang w:val="en-US" w:eastAsia="zh-CN" w:bidi="ar-SA"/>
              </w:rPr>
              <w:t>202</w:t>
            </w:r>
            <w:r>
              <w:rPr>
                <w:rFonts w:hint="eastAsia" w:ascii="Times New Roman" w:hAnsi="Times New Roman" w:eastAsia="仿宋_GB2312" w:cs="Times New Roman"/>
                <w:b w:val="0"/>
                <w:bCs w:val="0"/>
                <w:i w:val="0"/>
                <w:iCs w:val="0"/>
                <w:caps w:val="0"/>
                <w:color w:val="auto"/>
                <w:spacing w:val="20"/>
                <w:sz w:val="28"/>
                <w:szCs w:val="28"/>
                <w:highlight w:val="none"/>
                <w:shd w:val="clear"/>
                <w:lang w:val="en-US" w:eastAsia="zh-CN" w:bidi="ar-SA"/>
              </w:rPr>
              <w:t>5</w:t>
            </w:r>
            <w:r>
              <w:rPr>
                <w:rFonts w:hint="default" w:ascii="Times New Roman" w:hAnsi="Times New Roman" w:eastAsia="仿宋_GB2312" w:cs="Times New Roman"/>
                <w:b w:val="0"/>
                <w:bCs w:val="0"/>
                <w:i w:val="0"/>
                <w:iCs w:val="0"/>
                <w:caps w:val="0"/>
                <w:color w:val="auto"/>
                <w:spacing w:val="20"/>
                <w:sz w:val="28"/>
                <w:szCs w:val="28"/>
                <w:highlight w:val="none"/>
                <w:shd w:val="clear"/>
                <w:lang w:val="en-US" w:eastAsia="zh-CN" w:bidi="ar-SA"/>
              </w:rPr>
              <w:t>年</w:t>
            </w:r>
            <w:r>
              <w:rPr>
                <w:rFonts w:hint="eastAsia" w:ascii="Times New Roman" w:hAnsi="Times New Roman" w:eastAsia="仿宋_GB2312" w:cs="Times New Roman"/>
                <w:b w:val="0"/>
                <w:bCs w:val="0"/>
                <w:i w:val="0"/>
                <w:iCs w:val="0"/>
                <w:caps w:val="0"/>
                <w:color w:val="auto"/>
                <w:spacing w:val="20"/>
                <w:sz w:val="28"/>
                <w:szCs w:val="28"/>
                <w:highlight w:val="none"/>
                <w:shd w:val="clear"/>
                <w:lang w:val="en-US" w:eastAsia="zh-CN" w:bidi="ar-SA"/>
              </w:rPr>
              <w:t>5</w:t>
            </w:r>
            <w:r>
              <w:rPr>
                <w:rFonts w:hint="default" w:ascii="Times New Roman" w:hAnsi="Times New Roman" w:eastAsia="仿宋_GB2312" w:cs="Times New Roman"/>
                <w:b w:val="0"/>
                <w:bCs w:val="0"/>
                <w:i w:val="0"/>
                <w:iCs w:val="0"/>
                <w:caps w:val="0"/>
                <w:color w:val="auto"/>
                <w:spacing w:val="20"/>
                <w:sz w:val="28"/>
                <w:szCs w:val="28"/>
                <w:highlight w:val="none"/>
                <w:shd w:val="clear"/>
                <w:lang w:val="en-US" w:eastAsia="zh-CN" w:bidi="ar-SA"/>
              </w:rPr>
              <w:t>月</w:t>
            </w:r>
            <w:r>
              <w:rPr>
                <w:rFonts w:hint="eastAsia" w:ascii="Times New Roman" w:hAnsi="Times New Roman" w:eastAsia="仿宋_GB2312" w:cs="Times New Roman"/>
                <w:b w:val="0"/>
                <w:bCs w:val="0"/>
                <w:i w:val="0"/>
                <w:iCs w:val="0"/>
                <w:caps w:val="0"/>
                <w:color w:val="auto"/>
                <w:spacing w:val="20"/>
                <w:sz w:val="28"/>
                <w:szCs w:val="28"/>
                <w:highlight w:val="none"/>
                <w:shd w:val="clear"/>
                <w:lang w:val="en-US" w:eastAsia="zh-CN" w:bidi="ar-SA"/>
              </w:rPr>
              <w:t>14</w:t>
            </w:r>
            <w:r>
              <w:rPr>
                <w:rFonts w:hint="default" w:ascii="Times New Roman" w:hAnsi="Times New Roman" w:eastAsia="仿宋_GB2312" w:cs="Times New Roman"/>
                <w:b w:val="0"/>
                <w:bCs w:val="0"/>
                <w:i w:val="0"/>
                <w:iCs w:val="0"/>
                <w:caps w:val="0"/>
                <w:color w:val="auto"/>
                <w:spacing w:val="20"/>
                <w:sz w:val="28"/>
                <w:szCs w:val="28"/>
                <w:highlight w:val="none"/>
                <w:shd w:val="clear"/>
                <w:lang w:val="en-US" w:eastAsia="zh-CN" w:bidi="ar-SA"/>
              </w:rPr>
              <w:t>日印</w:t>
            </w:r>
          </w:p>
        </w:tc>
      </w:tr>
    </w:tbl>
    <w:p>
      <w:pPr>
        <w:tabs>
          <w:tab w:val="left" w:pos="712"/>
        </w:tabs>
        <w:bidi w:val="0"/>
        <w:jc w:val="left"/>
        <w:rPr>
          <w:rFonts w:hint="default"/>
          <w:highlight w:val="yellow"/>
          <w:lang w:val="en-US" w:eastAsia="zh-CN"/>
        </w:rPr>
      </w:pPr>
    </w:p>
    <w:sectPr>
      <w:footerReference r:id="rId3" w:type="default"/>
      <w:footerReference r:id="rId4" w:type="even"/>
      <w:pgSz w:w="11910" w:h="16840"/>
      <w:pgMar w:top="2098" w:right="1531" w:bottom="1984" w:left="1531" w:header="0" w:footer="1417" w:gutter="0"/>
      <w:pgBorders>
        <w:top w:val="none" w:sz="0" w:space="0"/>
        <w:left w:val="none" w:sz="0" w:space="0"/>
        <w:bottom w:val="none" w:sz="0" w:space="0"/>
        <w:right w:val="none" w:sz="0" w:space="0"/>
      </w:pgBorders>
      <w:pgNumType w:fmt="decimal"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VmZ+Mg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5WZn4yAgAAYwQAAA4AAAAAAAAAAQAgAAAA&#10;NQEAAGRycy9lMm9Eb2MueG1sUEsFBgAAAAAGAAYAWQEAANkFAAAAAA==&#10;">
              <v:fill on="f" focussize="0,0"/>
              <v:stroke on="f" weight="0.5pt"/>
              <v:imagedata o:title=""/>
              <o:lock v:ext="edit" aspectratio="f"/>
              <v:textbox inset="0mm,0mm,0mm,0mm" style="mso-fit-shape-to-text:t;">
                <w:txbxContent>
                  <w:p>
                    <w:pPr>
                      <w:pStyle w:val="10"/>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v:textbox>
            </v:shape>
          </w:pict>
        </mc:Fallback>
      </mc:AlternateContent>
    </w:r>
    <w:r>
      <w:rPr>
        <w:rFonts w:hint="eastAsia"/>
        <w:sz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BROdMg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GKYRsVPP76ffj6cfn0jOINAjQszxN07RMb2nW0RPJwHHCbebeV1+oIRgR/y&#10;Hi/yijYSni5NJ9NpDheHb9gAP3u87nyI74XVJBkF9ahfJys7bELsQ4eQlM3YtVSqq6EypCno1eu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MFE50yAgAAYwQAAA4AAAAAAAAAAQAgAAAA&#10;NQEAAGRycy9lMm9Eb2MueG1sUEsFBgAAAAAGAAYAWQEAANkFAAAAAA==&#10;">
              <v:fill on="f" focussize="0,0"/>
              <v:stroke on="f" weight="0.5pt"/>
              <v:imagedata o:title=""/>
              <o:lock v:ext="edit" aspectratio="f"/>
              <v:textbox inset="0mm,0mm,0mm,0mm" style="mso-fit-shape-to-text:t;">
                <w:txbxContent>
                  <w:p>
                    <w:pPr>
                      <w:pStyle w:val="10"/>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E9318"/>
    <w:multiLevelType w:val="singleLevel"/>
    <w:tmpl w:val="CFAE9318"/>
    <w:lvl w:ilvl="0" w:tentative="0">
      <w:start w:val="1"/>
      <w:numFmt w:val="chineseCounting"/>
      <w:suff w:val="nothing"/>
      <w:lvlText w:val="（%1）"/>
      <w:lvlJc w:val="left"/>
      <w:rPr>
        <w:rFonts w:hint="eastAsia"/>
      </w:rPr>
    </w:lvl>
  </w:abstractNum>
  <w:abstractNum w:abstractNumId="1">
    <w:nsid w:val="DDDAA481"/>
    <w:multiLevelType w:val="singleLevel"/>
    <w:tmpl w:val="DDDAA48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mZDYyNTYyZjY2Njc0YmNhY2I2NjYwMzkzMWIwMmMifQ=="/>
  </w:docVars>
  <w:rsids>
    <w:rsidRoot w:val="3F523B75"/>
    <w:rsid w:val="00971403"/>
    <w:rsid w:val="00A6244D"/>
    <w:rsid w:val="00BC3A1F"/>
    <w:rsid w:val="01154EDD"/>
    <w:rsid w:val="013F2B30"/>
    <w:rsid w:val="01527EDF"/>
    <w:rsid w:val="01FD3BC9"/>
    <w:rsid w:val="021F6013"/>
    <w:rsid w:val="028537B2"/>
    <w:rsid w:val="02923DB4"/>
    <w:rsid w:val="02CF5754"/>
    <w:rsid w:val="034F2928"/>
    <w:rsid w:val="035B45AA"/>
    <w:rsid w:val="046E5030"/>
    <w:rsid w:val="05B74771"/>
    <w:rsid w:val="05BF0394"/>
    <w:rsid w:val="05EB5EC4"/>
    <w:rsid w:val="061C2EC1"/>
    <w:rsid w:val="06E5770D"/>
    <w:rsid w:val="074C6910"/>
    <w:rsid w:val="074F739B"/>
    <w:rsid w:val="07567712"/>
    <w:rsid w:val="07806183"/>
    <w:rsid w:val="07892593"/>
    <w:rsid w:val="07911BD6"/>
    <w:rsid w:val="07BF3568"/>
    <w:rsid w:val="07DF75F9"/>
    <w:rsid w:val="07FF8A8C"/>
    <w:rsid w:val="08286DEA"/>
    <w:rsid w:val="085727FD"/>
    <w:rsid w:val="08CB0CA3"/>
    <w:rsid w:val="08D51C69"/>
    <w:rsid w:val="08FC0E5C"/>
    <w:rsid w:val="08FD02C5"/>
    <w:rsid w:val="09401E08"/>
    <w:rsid w:val="095A3169"/>
    <w:rsid w:val="09E1608B"/>
    <w:rsid w:val="09E71B0D"/>
    <w:rsid w:val="0A3035BA"/>
    <w:rsid w:val="0ACE35E8"/>
    <w:rsid w:val="0AD904CD"/>
    <w:rsid w:val="0AF3036A"/>
    <w:rsid w:val="0AF53DB5"/>
    <w:rsid w:val="0B360B02"/>
    <w:rsid w:val="0BB67268"/>
    <w:rsid w:val="0BF91683"/>
    <w:rsid w:val="0C5C712D"/>
    <w:rsid w:val="0C667166"/>
    <w:rsid w:val="0C7E427E"/>
    <w:rsid w:val="0CD10852"/>
    <w:rsid w:val="0D837D9E"/>
    <w:rsid w:val="0D995783"/>
    <w:rsid w:val="0E365F26"/>
    <w:rsid w:val="0E63197E"/>
    <w:rsid w:val="0E8A6F0A"/>
    <w:rsid w:val="0EBB32CD"/>
    <w:rsid w:val="0EC266A4"/>
    <w:rsid w:val="0F5117D6"/>
    <w:rsid w:val="0FD73C6E"/>
    <w:rsid w:val="10E248AF"/>
    <w:rsid w:val="110C6F77"/>
    <w:rsid w:val="1178129C"/>
    <w:rsid w:val="11F52125"/>
    <w:rsid w:val="12126035"/>
    <w:rsid w:val="12362E90"/>
    <w:rsid w:val="124A1FFB"/>
    <w:rsid w:val="12A661DB"/>
    <w:rsid w:val="131229DD"/>
    <w:rsid w:val="13DB6648"/>
    <w:rsid w:val="14643CB9"/>
    <w:rsid w:val="14683800"/>
    <w:rsid w:val="149C7998"/>
    <w:rsid w:val="149D7925"/>
    <w:rsid w:val="14C173FE"/>
    <w:rsid w:val="152E4A94"/>
    <w:rsid w:val="15495B7F"/>
    <w:rsid w:val="156F0F1F"/>
    <w:rsid w:val="159B19FD"/>
    <w:rsid w:val="16051CF2"/>
    <w:rsid w:val="16533824"/>
    <w:rsid w:val="16866209"/>
    <w:rsid w:val="17127A9D"/>
    <w:rsid w:val="177C2B6D"/>
    <w:rsid w:val="17A66FD1"/>
    <w:rsid w:val="17B1375A"/>
    <w:rsid w:val="180445E1"/>
    <w:rsid w:val="183C74C7"/>
    <w:rsid w:val="18500A76"/>
    <w:rsid w:val="18A312F5"/>
    <w:rsid w:val="18BC5837"/>
    <w:rsid w:val="18D60BCF"/>
    <w:rsid w:val="18F2402A"/>
    <w:rsid w:val="1A1773DF"/>
    <w:rsid w:val="1A4E5290"/>
    <w:rsid w:val="1ACAB867"/>
    <w:rsid w:val="1B300E3A"/>
    <w:rsid w:val="1B4F12C0"/>
    <w:rsid w:val="1BE90171"/>
    <w:rsid w:val="1BED0AD9"/>
    <w:rsid w:val="1CA36708"/>
    <w:rsid w:val="1CD04682"/>
    <w:rsid w:val="1D205DE2"/>
    <w:rsid w:val="1D3A5FA0"/>
    <w:rsid w:val="1D544227"/>
    <w:rsid w:val="1D8F0099"/>
    <w:rsid w:val="1D9236E6"/>
    <w:rsid w:val="1DEB588C"/>
    <w:rsid w:val="1E8973C8"/>
    <w:rsid w:val="1E9A7B5C"/>
    <w:rsid w:val="1ED22134"/>
    <w:rsid w:val="1F7529EF"/>
    <w:rsid w:val="1FA161E3"/>
    <w:rsid w:val="1FCF09D4"/>
    <w:rsid w:val="1FE750B6"/>
    <w:rsid w:val="1FFCADF4"/>
    <w:rsid w:val="2023194D"/>
    <w:rsid w:val="20396F45"/>
    <w:rsid w:val="20A17A40"/>
    <w:rsid w:val="21103F5F"/>
    <w:rsid w:val="212A6571"/>
    <w:rsid w:val="216B2BCB"/>
    <w:rsid w:val="22274D44"/>
    <w:rsid w:val="226650A3"/>
    <w:rsid w:val="227656BB"/>
    <w:rsid w:val="23243032"/>
    <w:rsid w:val="233F1C1A"/>
    <w:rsid w:val="23AA791E"/>
    <w:rsid w:val="23BE3486"/>
    <w:rsid w:val="23E822B1"/>
    <w:rsid w:val="24457704"/>
    <w:rsid w:val="24A2129F"/>
    <w:rsid w:val="24C32678"/>
    <w:rsid w:val="24E52C95"/>
    <w:rsid w:val="24EB7BBF"/>
    <w:rsid w:val="253357AE"/>
    <w:rsid w:val="258068C4"/>
    <w:rsid w:val="25982406"/>
    <w:rsid w:val="25CA539D"/>
    <w:rsid w:val="2619219C"/>
    <w:rsid w:val="26633E71"/>
    <w:rsid w:val="26735D21"/>
    <w:rsid w:val="267E3F61"/>
    <w:rsid w:val="269E5170"/>
    <w:rsid w:val="26A14888"/>
    <w:rsid w:val="26A950BA"/>
    <w:rsid w:val="26BF3A9F"/>
    <w:rsid w:val="26FE7C9A"/>
    <w:rsid w:val="270E64D3"/>
    <w:rsid w:val="2718258D"/>
    <w:rsid w:val="27B356B9"/>
    <w:rsid w:val="27DF243C"/>
    <w:rsid w:val="27F7DF03"/>
    <w:rsid w:val="28006AB4"/>
    <w:rsid w:val="28681C7B"/>
    <w:rsid w:val="28692DF9"/>
    <w:rsid w:val="28F20A3C"/>
    <w:rsid w:val="28F74D45"/>
    <w:rsid w:val="28FB15C1"/>
    <w:rsid w:val="29673C78"/>
    <w:rsid w:val="299F1AB8"/>
    <w:rsid w:val="29B822DE"/>
    <w:rsid w:val="29BD1AEA"/>
    <w:rsid w:val="2A231205"/>
    <w:rsid w:val="2A29013F"/>
    <w:rsid w:val="2A6A059D"/>
    <w:rsid w:val="2A9439A2"/>
    <w:rsid w:val="2ADB2B70"/>
    <w:rsid w:val="2B00504B"/>
    <w:rsid w:val="2B0100FD"/>
    <w:rsid w:val="2B6761B2"/>
    <w:rsid w:val="2BC90C1A"/>
    <w:rsid w:val="2BCA4A3B"/>
    <w:rsid w:val="2BCB4751"/>
    <w:rsid w:val="2BEE68D3"/>
    <w:rsid w:val="2C25727A"/>
    <w:rsid w:val="2C3342E6"/>
    <w:rsid w:val="2C7B216E"/>
    <w:rsid w:val="2C964754"/>
    <w:rsid w:val="2C9D5AE7"/>
    <w:rsid w:val="2CCB2770"/>
    <w:rsid w:val="2DA75BF4"/>
    <w:rsid w:val="2DFD7B2B"/>
    <w:rsid w:val="2E3F6F72"/>
    <w:rsid w:val="2E810DBB"/>
    <w:rsid w:val="2E9A064C"/>
    <w:rsid w:val="2EC71A5C"/>
    <w:rsid w:val="2ECB0BB1"/>
    <w:rsid w:val="2F4F3592"/>
    <w:rsid w:val="2F5B4B31"/>
    <w:rsid w:val="2F650C5A"/>
    <w:rsid w:val="2F704E77"/>
    <w:rsid w:val="2FED26A0"/>
    <w:rsid w:val="30610C0D"/>
    <w:rsid w:val="30C9346B"/>
    <w:rsid w:val="310C6F7D"/>
    <w:rsid w:val="311C0372"/>
    <w:rsid w:val="31333F0C"/>
    <w:rsid w:val="31564B16"/>
    <w:rsid w:val="317E4255"/>
    <w:rsid w:val="31AAB427"/>
    <w:rsid w:val="31E506E7"/>
    <w:rsid w:val="32502CF2"/>
    <w:rsid w:val="3297178C"/>
    <w:rsid w:val="329A50BF"/>
    <w:rsid w:val="32E42A14"/>
    <w:rsid w:val="32EF01E9"/>
    <w:rsid w:val="33235C34"/>
    <w:rsid w:val="333F2E0A"/>
    <w:rsid w:val="335A1746"/>
    <w:rsid w:val="33D51CDD"/>
    <w:rsid w:val="33FD4B96"/>
    <w:rsid w:val="341A2457"/>
    <w:rsid w:val="341E6BC7"/>
    <w:rsid w:val="3483404C"/>
    <w:rsid w:val="34F15656"/>
    <w:rsid w:val="35200534"/>
    <w:rsid w:val="354F34AA"/>
    <w:rsid w:val="35857ED2"/>
    <w:rsid w:val="35ADDFE1"/>
    <w:rsid w:val="35BC3A74"/>
    <w:rsid w:val="35F5085E"/>
    <w:rsid w:val="35F66DB2"/>
    <w:rsid w:val="36777560"/>
    <w:rsid w:val="36B44275"/>
    <w:rsid w:val="36F154C9"/>
    <w:rsid w:val="36F47976"/>
    <w:rsid w:val="379D7076"/>
    <w:rsid w:val="37B24757"/>
    <w:rsid w:val="37C36E66"/>
    <w:rsid w:val="38C35212"/>
    <w:rsid w:val="394A373B"/>
    <w:rsid w:val="397B58ED"/>
    <w:rsid w:val="397D3DCB"/>
    <w:rsid w:val="39A04ADA"/>
    <w:rsid w:val="3A6F1C6A"/>
    <w:rsid w:val="3A705B70"/>
    <w:rsid w:val="3A85A3A7"/>
    <w:rsid w:val="3AB30688"/>
    <w:rsid w:val="3ABE3914"/>
    <w:rsid w:val="3ABE58A2"/>
    <w:rsid w:val="3B7C7A57"/>
    <w:rsid w:val="3B8B6575"/>
    <w:rsid w:val="3B8FC16C"/>
    <w:rsid w:val="3B9D16C5"/>
    <w:rsid w:val="3BCF76D5"/>
    <w:rsid w:val="3BE221F9"/>
    <w:rsid w:val="3BEF6276"/>
    <w:rsid w:val="3BFD0119"/>
    <w:rsid w:val="3C211A8E"/>
    <w:rsid w:val="3C28373B"/>
    <w:rsid w:val="3CC56F8A"/>
    <w:rsid w:val="3CDF3CCB"/>
    <w:rsid w:val="3D073351"/>
    <w:rsid w:val="3D5D52DE"/>
    <w:rsid w:val="3D895878"/>
    <w:rsid w:val="3DAB4624"/>
    <w:rsid w:val="3DB139ED"/>
    <w:rsid w:val="3DB5782E"/>
    <w:rsid w:val="3DFAFD7D"/>
    <w:rsid w:val="3DFFFF7B"/>
    <w:rsid w:val="3F34718E"/>
    <w:rsid w:val="3F523B75"/>
    <w:rsid w:val="3F79FDB6"/>
    <w:rsid w:val="3F7B86A4"/>
    <w:rsid w:val="3F836EDA"/>
    <w:rsid w:val="3FBE43D5"/>
    <w:rsid w:val="3FE9E985"/>
    <w:rsid w:val="3FFFB069"/>
    <w:rsid w:val="40B3559D"/>
    <w:rsid w:val="410127AD"/>
    <w:rsid w:val="41E023C2"/>
    <w:rsid w:val="421D7370"/>
    <w:rsid w:val="42C10446"/>
    <w:rsid w:val="42FC4DF0"/>
    <w:rsid w:val="43284F58"/>
    <w:rsid w:val="43405076"/>
    <w:rsid w:val="435D7EBD"/>
    <w:rsid w:val="438D657A"/>
    <w:rsid w:val="439873F8"/>
    <w:rsid w:val="43A87504"/>
    <w:rsid w:val="43B72A03"/>
    <w:rsid w:val="44472BCC"/>
    <w:rsid w:val="44550E45"/>
    <w:rsid w:val="446567DC"/>
    <w:rsid w:val="447339C1"/>
    <w:rsid w:val="44FD42BC"/>
    <w:rsid w:val="45D95AA6"/>
    <w:rsid w:val="45E72308"/>
    <w:rsid w:val="45FA35DE"/>
    <w:rsid w:val="46300B75"/>
    <w:rsid w:val="468908BC"/>
    <w:rsid w:val="46B502C1"/>
    <w:rsid w:val="46DD020D"/>
    <w:rsid w:val="46FB7DC6"/>
    <w:rsid w:val="473E02B7"/>
    <w:rsid w:val="477F3BC4"/>
    <w:rsid w:val="47C76487"/>
    <w:rsid w:val="47D020B2"/>
    <w:rsid w:val="47D472F8"/>
    <w:rsid w:val="48054931"/>
    <w:rsid w:val="4867383D"/>
    <w:rsid w:val="491971FC"/>
    <w:rsid w:val="493050A8"/>
    <w:rsid w:val="49467498"/>
    <w:rsid w:val="494E6904"/>
    <w:rsid w:val="49563747"/>
    <w:rsid w:val="497F63A3"/>
    <w:rsid w:val="49935A07"/>
    <w:rsid w:val="49AC0A1C"/>
    <w:rsid w:val="49B26D3A"/>
    <w:rsid w:val="49D21D76"/>
    <w:rsid w:val="4A26379D"/>
    <w:rsid w:val="4A4E6A63"/>
    <w:rsid w:val="4A870FE7"/>
    <w:rsid w:val="4B3C4B0D"/>
    <w:rsid w:val="4B483EEE"/>
    <w:rsid w:val="4B49547C"/>
    <w:rsid w:val="4B4D151F"/>
    <w:rsid w:val="4B7A1512"/>
    <w:rsid w:val="4BCD1C09"/>
    <w:rsid w:val="4BD5237D"/>
    <w:rsid w:val="4C42398C"/>
    <w:rsid w:val="4CB83BEB"/>
    <w:rsid w:val="4CD945DE"/>
    <w:rsid w:val="4CF3744D"/>
    <w:rsid w:val="4D3D2422"/>
    <w:rsid w:val="4D4B4E02"/>
    <w:rsid w:val="4D704F42"/>
    <w:rsid w:val="4D8F4AFA"/>
    <w:rsid w:val="4E255800"/>
    <w:rsid w:val="4E2D2FB0"/>
    <w:rsid w:val="4F455F5A"/>
    <w:rsid w:val="4F6E296C"/>
    <w:rsid w:val="4F777894"/>
    <w:rsid w:val="4FD52599"/>
    <w:rsid w:val="4FE63F55"/>
    <w:rsid w:val="4FEA368E"/>
    <w:rsid w:val="4FF534DD"/>
    <w:rsid w:val="502B09C9"/>
    <w:rsid w:val="50586D12"/>
    <w:rsid w:val="5062722A"/>
    <w:rsid w:val="508C7A69"/>
    <w:rsid w:val="50962F12"/>
    <w:rsid w:val="50A867A1"/>
    <w:rsid w:val="50F21991"/>
    <w:rsid w:val="51506BD0"/>
    <w:rsid w:val="517E1E6E"/>
    <w:rsid w:val="51800720"/>
    <w:rsid w:val="51BD4675"/>
    <w:rsid w:val="51ED2C7A"/>
    <w:rsid w:val="52827145"/>
    <w:rsid w:val="52AF02BB"/>
    <w:rsid w:val="52B64556"/>
    <w:rsid w:val="531C3B06"/>
    <w:rsid w:val="53A2397B"/>
    <w:rsid w:val="53A23C2E"/>
    <w:rsid w:val="540452F5"/>
    <w:rsid w:val="5460599E"/>
    <w:rsid w:val="54E104D3"/>
    <w:rsid w:val="5531187B"/>
    <w:rsid w:val="554C109F"/>
    <w:rsid w:val="55600D2A"/>
    <w:rsid w:val="55E7486E"/>
    <w:rsid w:val="56293EE0"/>
    <w:rsid w:val="568F468B"/>
    <w:rsid w:val="56AC08C2"/>
    <w:rsid w:val="56D976B4"/>
    <w:rsid w:val="56DB6D4D"/>
    <w:rsid w:val="56E40017"/>
    <w:rsid w:val="56F83EBA"/>
    <w:rsid w:val="57350F22"/>
    <w:rsid w:val="57792C45"/>
    <w:rsid w:val="57A203EE"/>
    <w:rsid w:val="57ABD877"/>
    <w:rsid w:val="57B3098A"/>
    <w:rsid w:val="57E5DE10"/>
    <w:rsid w:val="57E8364C"/>
    <w:rsid w:val="57F3456B"/>
    <w:rsid w:val="585E66FF"/>
    <w:rsid w:val="58F5FAF2"/>
    <w:rsid w:val="593A3770"/>
    <w:rsid w:val="59D74F78"/>
    <w:rsid w:val="59DEB38A"/>
    <w:rsid w:val="59F667CF"/>
    <w:rsid w:val="5A1D2848"/>
    <w:rsid w:val="5A4256D1"/>
    <w:rsid w:val="5A84169D"/>
    <w:rsid w:val="5AF80325"/>
    <w:rsid w:val="5B0A0784"/>
    <w:rsid w:val="5B1F51CE"/>
    <w:rsid w:val="5B5F2152"/>
    <w:rsid w:val="5BCA1926"/>
    <w:rsid w:val="5C3655A9"/>
    <w:rsid w:val="5C9DAC23"/>
    <w:rsid w:val="5D2378DB"/>
    <w:rsid w:val="5D37BA84"/>
    <w:rsid w:val="5D3A4C25"/>
    <w:rsid w:val="5D765031"/>
    <w:rsid w:val="5DCA2858"/>
    <w:rsid w:val="5E196F30"/>
    <w:rsid w:val="5E265A46"/>
    <w:rsid w:val="5E4915C3"/>
    <w:rsid w:val="5E525ACC"/>
    <w:rsid w:val="5E595E38"/>
    <w:rsid w:val="5E6365E8"/>
    <w:rsid w:val="5EA42770"/>
    <w:rsid w:val="5EAD413B"/>
    <w:rsid w:val="5EFA28BD"/>
    <w:rsid w:val="5F455346"/>
    <w:rsid w:val="5F4D3E57"/>
    <w:rsid w:val="5F4E65A5"/>
    <w:rsid w:val="5F5A2D3B"/>
    <w:rsid w:val="5F9EF8FD"/>
    <w:rsid w:val="5FEA016C"/>
    <w:rsid w:val="5FEB6BC1"/>
    <w:rsid w:val="5FEFDC3E"/>
    <w:rsid w:val="5FF6385E"/>
    <w:rsid w:val="5FF92BDD"/>
    <w:rsid w:val="60232DB0"/>
    <w:rsid w:val="6042624C"/>
    <w:rsid w:val="6098413C"/>
    <w:rsid w:val="60B13052"/>
    <w:rsid w:val="60EC2655"/>
    <w:rsid w:val="61377B54"/>
    <w:rsid w:val="61472540"/>
    <w:rsid w:val="614F2161"/>
    <w:rsid w:val="6188184F"/>
    <w:rsid w:val="619863BE"/>
    <w:rsid w:val="61DB6992"/>
    <w:rsid w:val="61F62AAF"/>
    <w:rsid w:val="621C0E0D"/>
    <w:rsid w:val="623B7475"/>
    <w:rsid w:val="62894684"/>
    <w:rsid w:val="62AA706F"/>
    <w:rsid w:val="62E742D1"/>
    <w:rsid w:val="630F16E0"/>
    <w:rsid w:val="63262A4C"/>
    <w:rsid w:val="63892187"/>
    <w:rsid w:val="638E2AE9"/>
    <w:rsid w:val="63AFE502"/>
    <w:rsid w:val="63F8286B"/>
    <w:rsid w:val="63FF2429"/>
    <w:rsid w:val="640146EE"/>
    <w:rsid w:val="641B3B87"/>
    <w:rsid w:val="642E6CB8"/>
    <w:rsid w:val="6456066A"/>
    <w:rsid w:val="648F5856"/>
    <w:rsid w:val="64DF4CDB"/>
    <w:rsid w:val="653C5569"/>
    <w:rsid w:val="65D33DA4"/>
    <w:rsid w:val="66081D64"/>
    <w:rsid w:val="664D391D"/>
    <w:rsid w:val="66596FF2"/>
    <w:rsid w:val="66BE099A"/>
    <w:rsid w:val="66C537B1"/>
    <w:rsid w:val="66EF6A80"/>
    <w:rsid w:val="67185FD7"/>
    <w:rsid w:val="67233792"/>
    <w:rsid w:val="67265748"/>
    <w:rsid w:val="67A7735B"/>
    <w:rsid w:val="67B50ECD"/>
    <w:rsid w:val="67C7703A"/>
    <w:rsid w:val="67E711E8"/>
    <w:rsid w:val="688E4B3D"/>
    <w:rsid w:val="69273B6B"/>
    <w:rsid w:val="692E1A82"/>
    <w:rsid w:val="69443B18"/>
    <w:rsid w:val="69482C0B"/>
    <w:rsid w:val="6971229A"/>
    <w:rsid w:val="69A19420"/>
    <w:rsid w:val="69D3258F"/>
    <w:rsid w:val="69F87CCA"/>
    <w:rsid w:val="6A0BE28E"/>
    <w:rsid w:val="6A604F22"/>
    <w:rsid w:val="6A66585B"/>
    <w:rsid w:val="6AAE27AE"/>
    <w:rsid w:val="6ABF5599"/>
    <w:rsid w:val="6AF41DC9"/>
    <w:rsid w:val="6B5A09FB"/>
    <w:rsid w:val="6B87668B"/>
    <w:rsid w:val="6BFB1A23"/>
    <w:rsid w:val="6BFB5EC7"/>
    <w:rsid w:val="6C145A14"/>
    <w:rsid w:val="6C541953"/>
    <w:rsid w:val="6CDD62E9"/>
    <w:rsid w:val="6CEB01BE"/>
    <w:rsid w:val="6D156E1B"/>
    <w:rsid w:val="6D437B25"/>
    <w:rsid w:val="6D712AE6"/>
    <w:rsid w:val="6D7FD094"/>
    <w:rsid w:val="6DB9E208"/>
    <w:rsid w:val="6DC82945"/>
    <w:rsid w:val="6DE10939"/>
    <w:rsid w:val="6DEF76A4"/>
    <w:rsid w:val="6DF3B149"/>
    <w:rsid w:val="6DFF75AA"/>
    <w:rsid w:val="6EDF82A2"/>
    <w:rsid w:val="6EF3DA24"/>
    <w:rsid w:val="6F0A5909"/>
    <w:rsid w:val="6F1D2FC2"/>
    <w:rsid w:val="6F63000B"/>
    <w:rsid w:val="6F67E538"/>
    <w:rsid w:val="6F6B7D33"/>
    <w:rsid w:val="6F917C18"/>
    <w:rsid w:val="6F9BFF16"/>
    <w:rsid w:val="6F9C54DA"/>
    <w:rsid w:val="6FA75345"/>
    <w:rsid w:val="6FB12A41"/>
    <w:rsid w:val="6FE23626"/>
    <w:rsid w:val="6FE300D9"/>
    <w:rsid w:val="6FF2F994"/>
    <w:rsid w:val="6FFEF3F5"/>
    <w:rsid w:val="701758C7"/>
    <w:rsid w:val="7036571F"/>
    <w:rsid w:val="70402FC1"/>
    <w:rsid w:val="70490507"/>
    <w:rsid w:val="704C72E8"/>
    <w:rsid w:val="704D7FCB"/>
    <w:rsid w:val="708B5A6B"/>
    <w:rsid w:val="709950A2"/>
    <w:rsid w:val="70B2124A"/>
    <w:rsid w:val="70D50A94"/>
    <w:rsid w:val="70DD4EC6"/>
    <w:rsid w:val="712D7C30"/>
    <w:rsid w:val="716E119C"/>
    <w:rsid w:val="71B763EC"/>
    <w:rsid w:val="71FA4CAF"/>
    <w:rsid w:val="722A3062"/>
    <w:rsid w:val="72505A93"/>
    <w:rsid w:val="72BB1113"/>
    <w:rsid w:val="72C74D55"/>
    <w:rsid w:val="731443C2"/>
    <w:rsid w:val="731DB41E"/>
    <w:rsid w:val="735F4F8D"/>
    <w:rsid w:val="73BFD971"/>
    <w:rsid w:val="73C24A3E"/>
    <w:rsid w:val="73C75052"/>
    <w:rsid w:val="73CDFECF"/>
    <w:rsid w:val="740A314B"/>
    <w:rsid w:val="74D60FBA"/>
    <w:rsid w:val="74E03EAC"/>
    <w:rsid w:val="75556648"/>
    <w:rsid w:val="75BFBCD5"/>
    <w:rsid w:val="75CA0DE4"/>
    <w:rsid w:val="75E31EA6"/>
    <w:rsid w:val="75EF43A6"/>
    <w:rsid w:val="76267728"/>
    <w:rsid w:val="76305954"/>
    <w:rsid w:val="766E3259"/>
    <w:rsid w:val="76EF37AE"/>
    <w:rsid w:val="770F76B9"/>
    <w:rsid w:val="77116A65"/>
    <w:rsid w:val="775D0B4B"/>
    <w:rsid w:val="778FD888"/>
    <w:rsid w:val="779EB24F"/>
    <w:rsid w:val="77AAB301"/>
    <w:rsid w:val="77B7441F"/>
    <w:rsid w:val="77CB2F58"/>
    <w:rsid w:val="77FE8904"/>
    <w:rsid w:val="77FFB551"/>
    <w:rsid w:val="789A7019"/>
    <w:rsid w:val="78BC498C"/>
    <w:rsid w:val="78E44FE1"/>
    <w:rsid w:val="792A7411"/>
    <w:rsid w:val="796FF1F6"/>
    <w:rsid w:val="797B8895"/>
    <w:rsid w:val="79A9FE50"/>
    <w:rsid w:val="79B80067"/>
    <w:rsid w:val="79DA13F9"/>
    <w:rsid w:val="79FF29F9"/>
    <w:rsid w:val="7A2D7B93"/>
    <w:rsid w:val="7A4D15E8"/>
    <w:rsid w:val="7A7601A9"/>
    <w:rsid w:val="7A7E364B"/>
    <w:rsid w:val="7AF54EA0"/>
    <w:rsid w:val="7AF83CFD"/>
    <w:rsid w:val="7B3D920F"/>
    <w:rsid w:val="7B4B6523"/>
    <w:rsid w:val="7B4DF876"/>
    <w:rsid w:val="7B503B39"/>
    <w:rsid w:val="7B631D9F"/>
    <w:rsid w:val="7B7F7792"/>
    <w:rsid w:val="7BBA355F"/>
    <w:rsid w:val="7BC71559"/>
    <w:rsid w:val="7BD82A06"/>
    <w:rsid w:val="7BF9FE44"/>
    <w:rsid w:val="7BFBF04E"/>
    <w:rsid w:val="7BFF5771"/>
    <w:rsid w:val="7C10151B"/>
    <w:rsid w:val="7C262AEC"/>
    <w:rsid w:val="7C713F4C"/>
    <w:rsid w:val="7CF1C354"/>
    <w:rsid w:val="7CF7D34C"/>
    <w:rsid w:val="7CFE5583"/>
    <w:rsid w:val="7D0B7289"/>
    <w:rsid w:val="7D50571A"/>
    <w:rsid w:val="7D5B9F62"/>
    <w:rsid w:val="7D76D736"/>
    <w:rsid w:val="7D77C808"/>
    <w:rsid w:val="7D9E2CE9"/>
    <w:rsid w:val="7DBD07D5"/>
    <w:rsid w:val="7DC3D4C0"/>
    <w:rsid w:val="7DEE305E"/>
    <w:rsid w:val="7DF83B8C"/>
    <w:rsid w:val="7DFF5E70"/>
    <w:rsid w:val="7E1ABC7A"/>
    <w:rsid w:val="7E3D30B1"/>
    <w:rsid w:val="7E81400A"/>
    <w:rsid w:val="7E8A07C9"/>
    <w:rsid w:val="7EA24793"/>
    <w:rsid w:val="7ED16CC2"/>
    <w:rsid w:val="7ED22AB7"/>
    <w:rsid w:val="7ED44A81"/>
    <w:rsid w:val="7EF835B7"/>
    <w:rsid w:val="7EFB05FF"/>
    <w:rsid w:val="7EFE1AE9"/>
    <w:rsid w:val="7F0215EE"/>
    <w:rsid w:val="7F343EC0"/>
    <w:rsid w:val="7F3815E6"/>
    <w:rsid w:val="7F41E496"/>
    <w:rsid w:val="7F4619EF"/>
    <w:rsid w:val="7F4E22F1"/>
    <w:rsid w:val="7F4F6874"/>
    <w:rsid w:val="7F6DB144"/>
    <w:rsid w:val="7F6F41CE"/>
    <w:rsid w:val="7F791B16"/>
    <w:rsid w:val="7F7B86D0"/>
    <w:rsid w:val="7F7DCDDB"/>
    <w:rsid w:val="7F7F21BA"/>
    <w:rsid w:val="7FA1275C"/>
    <w:rsid w:val="7FB56661"/>
    <w:rsid w:val="7FB65BC5"/>
    <w:rsid w:val="7FBE56CA"/>
    <w:rsid w:val="7FCE37F7"/>
    <w:rsid w:val="7FE19BF2"/>
    <w:rsid w:val="7FEB5756"/>
    <w:rsid w:val="7FEC58EF"/>
    <w:rsid w:val="7FF0CA64"/>
    <w:rsid w:val="7FF4F42C"/>
    <w:rsid w:val="7FFAE877"/>
    <w:rsid w:val="7FFB891E"/>
    <w:rsid w:val="7FFFC86F"/>
    <w:rsid w:val="83F7BC00"/>
    <w:rsid w:val="93FF3D97"/>
    <w:rsid w:val="97DFF475"/>
    <w:rsid w:val="9CBFDC0D"/>
    <w:rsid w:val="9F7AEC4B"/>
    <w:rsid w:val="9FCB9C01"/>
    <w:rsid w:val="9FF630F6"/>
    <w:rsid w:val="9FFA4ABC"/>
    <w:rsid w:val="9FFF2C2F"/>
    <w:rsid w:val="A2FCF917"/>
    <w:rsid w:val="AB7F9ACA"/>
    <w:rsid w:val="ABBFD94A"/>
    <w:rsid w:val="AE9A9CDD"/>
    <w:rsid w:val="AEFFB770"/>
    <w:rsid w:val="AF5D278E"/>
    <w:rsid w:val="AF7F063B"/>
    <w:rsid w:val="AFDBCB22"/>
    <w:rsid w:val="AFDF6D3C"/>
    <w:rsid w:val="AFF75890"/>
    <w:rsid w:val="AFFBE3F0"/>
    <w:rsid w:val="AFFD7350"/>
    <w:rsid w:val="AFFEED7E"/>
    <w:rsid w:val="B57D62D2"/>
    <w:rsid w:val="B5BC6B72"/>
    <w:rsid w:val="B7766103"/>
    <w:rsid w:val="B77B1FBE"/>
    <w:rsid w:val="B7A2BA72"/>
    <w:rsid w:val="B7B35FC8"/>
    <w:rsid w:val="B87CD3FA"/>
    <w:rsid w:val="B9FFFC83"/>
    <w:rsid w:val="BC97E183"/>
    <w:rsid w:val="BDFBCFDC"/>
    <w:rsid w:val="BEED00FE"/>
    <w:rsid w:val="BF7F0A35"/>
    <w:rsid w:val="BF93BCEC"/>
    <w:rsid w:val="BFBFC0B2"/>
    <w:rsid w:val="BFC783E7"/>
    <w:rsid w:val="BFCD71AF"/>
    <w:rsid w:val="C337001A"/>
    <w:rsid w:val="C3FD38C2"/>
    <w:rsid w:val="CB7ED4BF"/>
    <w:rsid w:val="CFAC8A31"/>
    <w:rsid w:val="CFFDDA72"/>
    <w:rsid w:val="CFFEE055"/>
    <w:rsid w:val="D0F5CFEF"/>
    <w:rsid w:val="D26B72F3"/>
    <w:rsid w:val="D2F577E9"/>
    <w:rsid w:val="D3840C60"/>
    <w:rsid w:val="D76B54D6"/>
    <w:rsid w:val="D7DC3571"/>
    <w:rsid w:val="D7FE2283"/>
    <w:rsid w:val="D977CD82"/>
    <w:rsid w:val="DAF531F9"/>
    <w:rsid w:val="DAFC9219"/>
    <w:rsid w:val="DB7B8511"/>
    <w:rsid w:val="DBB23F3A"/>
    <w:rsid w:val="DBEF7DA5"/>
    <w:rsid w:val="DBFDBD95"/>
    <w:rsid w:val="DCFA6E6F"/>
    <w:rsid w:val="DDAF10B7"/>
    <w:rsid w:val="DDB6CF07"/>
    <w:rsid w:val="DDDF31FA"/>
    <w:rsid w:val="DDF7535A"/>
    <w:rsid w:val="DFDD79B1"/>
    <w:rsid w:val="DFDDB9CF"/>
    <w:rsid w:val="DFDF78B8"/>
    <w:rsid w:val="DFFFF089"/>
    <w:rsid w:val="E27F6FAC"/>
    <w:rsid w:val="E5F7E229"/>
    <w:rsid w:val="E6773E25"/>
    <w:rsid w:val="E7EBE4DA"/>
    <w:rsid w:val="E9372353"/>
    <w:rsid w:val="E93F1012"/>
    <w:rsid w:val="E9FF1547"/>
    <w:rsid w:val="EBDB4F90"/>
    <w:rsid w:val="EBFB4D9C"/>
    <w:rsid w:val="EBFF04B6"/>
    <w:rsid w:val="ECDFB313"/>
    <w:rsid w:val="ECF6E20F"/>
    <w:rsid w:val="EDF3BE47"/>
    <w:rsid w:val="EF3BDA95"/>
    <w:rsid w:val="EF6BC629"/>
    <w:rsid w:val="EF7FBAAC"/>
    <w:rsid w:val="EF9EE3EC"/>
    <w:rsid w:val="EFAECE50"/>
    <w:rsid w:val="EFDD985E"/>
    <w:rsid w:val="EFDF1A18"/>
    <w:rsid w:val="EFF7D959"/>
    <w:rsid w:val="EFFD1ECC"/>
    <w:rsid w:val="F3FDE88D"/>
    <w:rsid w:val="F56D5278"/>
    <w:rsid w:val="F5BFC3F4"/>
    <w:rsid w:val="F5DF4261"/>
    <w:rsid w:val="F5FF4990"/>
    <w:rsid w:val="F6FFDBFA"/>
    <w:rsid w:val="F7742E9A"/>
    <w:rsid w:val="F7B58BAC"/>
    <w:rsid w:val="F7EEB990"/>
    <w:rsid w:val="F7EFAB09"/>
    <w:rsid w:val="FA539875"/>
    <w:rsid w:val="FA7E75F4"/>
    <w:rsid w:val="FB69B912"/>
    <w:rsid w:val="FBED2FF2"/>
    <w:rsid w:val="FC477FB6"/>
    <w:rsid w:val="FD7737F3"/>
    <w:rsid w:val="FDAF8045"/>
    <w:rsid w:val="FDBE2951"/>
    <w:rsid w:val="FDF6682B"/>
    <w:rsid w:val="FE5FFF4D"/>
    <w:rsid w:val="FEAC1AF8"/>
    <w:rsid w:val="FEFCEA88"/>
    <w:rsid w:val="FEFD546A"/>
    <w:rsid w:val="FEFD9F6A"/>
    <w:rsid w:val="FF2714AF"/>
    <w:rsid w:val="FF3DD9DA"/>
    <w:rsid w:val="FF3F44BA"/>
    <w:rsid w:val="FF749CFE"/>
    <w:rsid w:val="FF7C2D5F"/>
    <w:rsid w:val="FF7F245E"/>
    <w:rsid w:val="FFAF553B"/>
    <w:rsid w:val="FFB41E76"/>
    <w:rsid w:val="FFBB5113"/>
    <w:rsid w:val="FFEE146F"/>
    <w:rsid w:val="FFEFF685"/>
    <w:rsid w:val="FFFD8F61"/>
    <w:rsid w:val="FFFF10E7"/>
    <w:rsid w:val="FFFF25B5"/>
    <w:rsid w:val="FFFF6B86"/>
    <w:rsid w:val="FFFF6E3F"/>
    <w:rsid w:val="FFFF7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0"/>
    <w:pPr>
      <w:spacing w:beforeAutospacing="1" w:afterAutospacing="1"/>
      <w:outlineLvl w:val="0"/>
    </w:pPr>
    <w:rPr>
      <w:rFonts w:hint="eastAsia" w:cs="Times New Roman"/>
      <w:b/>
      <w:bCs/>
      <w:kern w:val="44"/>
      <w:sz w:val="48"/>
      <w:szCs w:val="48"/>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7">
    <w:name w:val="Body Text"/>
    <w:basedOn w:val="1"/>
    <w:next w:val="1"/>
    <w:qFormat/>
    <w:uiPriority w:val="0"/>
    <w:pPr>
      <w:spacing w:after="120" w:afterLines="0" w:afterAutospacing="0"/>
    </w:pPr>
  </w:style>
  <w:style w:type="paragraph" w:styleId="8">
    <w:name w:val="Body Text Indent"/>
    <w:basedOn w:val="1"/>
    <w:next w:val="9"/>
    <w:qFormat/>
    <w:uiPriority w:val="0"/>
    <w:pPr>
      <w:spacing w:after="120"/>
      <w:ind w:left="420" w:leftChars="200"/>
    </w:pPr>
  </w:style>
  <w:style w:type="paragraph" w:styleId="9">
    <w:name w:val="envelope return"/>
    <w:basedOn w:val="1"/>
    <w:unhideWhenUsed/>
    <w:qFormat/>
    <w:uiPriority w:val="99"/>
    <w:pPr>
      <w:snapToGrid w:val="0"/>
    </w:pPr>
    <w:rPr>
      <w:rFonts w:ascii="Arial" w:hAnsi="Arial"/>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Autospacing="1" w:afterAutospacing="1"/>
    </w:pPr>
    <w:rPr>
      <w:rFonts w:cs="Times New Roman"/>
      <w:sz w:val="24"/>
    </w:rPr>
  </w:style>
  <w:style w:type="paragraph" w:styleId="13">
    <w:name w:val="Body Text First Indent"/>
    <w:basedOn w:val="7"/>
    <w:qFormat/>
    <w:uiPriority w:val="0"/>
    <w:pPr>
      <w:ind w:firstLine="420" w:firstLineChars="100"/>
    </w:pPr>
  </w:style>
  <w:style w:type="paragraph" w:styleId="14">
    <w:name w:val="Body Text First Indent 2"/>
    <w:basedOn w:val="8"/>
    <w:qFormat/>
    <w:uiPriority w:val="0"/>
    <w:pPr>
      <w:spacing w:after="0"/>
      <w:ind w:firstLine="42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Emphasis"/>
    <w:basedOn w:val="17"/>
    <w:qFormat/>
    <w:uiPriority w:val="0"/>
    <w:rPr>
      <w:i/>
    </w:rPr>
  </w:style>
  <w:style w:type="character" w:styleId="20">
    <w:name w:val="Hyperlink"/>
    <w:basedOn w:val="17"/>
    <w:qFormat/>
    <w:uiPriority w:val="0"/>
    <w:rPr>
      <w:color w:val="0000FF"/>
      <w:u w:val="single"/>
    </w:rPr>
  </w:style>
  <w:style w:type="paragraph" w:customStyle="1" w:styleId="21">
    <w:name w:val="Body Text First Indent1"/>
    <w:qFormat/>
    <w:uiPriority w:val="0"/>
    <w:pPr>
      <w:widowControl w:val="0"/>
      <w:ind w:firstLine="420" w:firstLineChars="100"/>
      <w:jc w:val="both"/>
    </w:pPr>
    <w:rPr>
      <w:rFonts w:ascii="Calibri" w:hAnsi="Calibri" w:eastAsia="宋体" w:cs="Times New Roman"/>
      <w:kern w:val="2"/>
      <w:sz w:val="21"/>
      <w:szCs w:val="24"/>
      <w:lang w:val="en-US" w:eastAsia="zh-CN" w:bidi="ar-SA"/>
    </w:rPr>
  </w:style>
  <w:style w:type="paragraph" w:customStyle="1" w:styleId="22">
    <w:name w:val="标题 #2"/>
    <w:basedOn w:val="1"/>
    <w:qFormat/>
    <w:uiPriority w:val="0"/>
    <w:pPr>
      <w:widowControl w:val="0"/>
      <w:shd w:val="clear" w:color="auto" w:fill="auto"/>
      <w:spacing w:after="290"/>
      <w:outlineLvl w:val="1"/>
    </w:pPr>
    <w:rPr>
      <w:rFonts w:ascii="宋体" w:hAnsi="宋体" w:eastAsia="宋体" w:cs="宋体"/>
      <w:sz w:val="40"/>
      <w:szCs w:val="40"/>
      <w:u w:val="none"/>
      <w:shd w:val="clear" w:color="auto" w:fill="auto"/>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3355</Words>
  <Characters>3412</Characters>
  <Lines>0</Lines>
  <Paragraphs>0</Paragraphs>
  <TotalTime>753</TotalTime>
  <ScaleCrop>false</ScaleCrop>
  <LinksUpToDate>false</LinksUpToDate>
  <CharactersWithSpaces>3679</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2023-04-04T19:03:00Z</dcterms:created>
  <dc:creator>杨杨杨</dc:creator>
  <cp:lastModifiedBy>huanghe</cp:lastModifiedBy>
  <dcterms:modified xsi:type="dcterms:W3CDTF">2025-08-25T08:06:30Z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3798383595784744B364C6D4C825C09F_13</vt:lpwstr>
  </property>
  <property fmtid="{D5CDD505-2E9C-101B-9397-08002B2CF9AE}" pid="4" name="KSOTemplateDocerSaveRecord">
    <vt:lpwstr>eyJoZGlkIjoiNTBmZDYyNTYyZjY2Njc0YmNhY2I2NjYwMzkzMWIwMmMiLCJ1c2VySWQiOiI4NDk0ODkzMzUifQ==</vt:lpwstr>
  </property>
</Properties>
</file>