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right="0"/>
        <w:jc w:val="center"/>
        <w:textAlignment w:val="auto"/>
        <w:rPr>
          <w:rFonts w:hint="eastAsia" w:ascii="方正小标宋简体" w:hAnsi="方正小标宋简体" w:eastAsia="方正小标宋简体" w:cs="方正小标宋简体"/>
          <w:b w:val="0"/>
          <w:bCs w:val="0"/>
          <w:color w:val="auto"/>
          <w:sz w:val="44"/>
          <w:szCs w:val="44"/>
        </w:rPr>
      </w:pPr>
      <w:r>
        <w:rPr>
          <w:rFonts w:hint="eastAsia" w:ascii="方正小标宋简体" w:hAnsi="方正小标宋简体" w:eastAsia="方正小标宋简体" w:cs="方正小标宋简体"/>
          <w:b w:val="0"/>
          <w:bCs w:val="0"/>
          <w:color w:val="auto"/>
          <w:sz w:val="44"/>
          <w:szCs w:val="44"/>
        </w:rPr>
        <w:t>《中华人民共和国社区矫正法》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rPr>
        <w:t>案件移交</w:t>
      </w:r>
      <w:r>
        <w:rPr>
          <w:rFonts w:hint="eastAsia" w:ascii="方正小标宋简体" w:hAnsi="方正小标宋简体" w:eastAsia="方正小标宋简体" w:cs="方正小标宋简体"/>
          <w:b w:val="0"/>
          <w:bCs w:val="0"/>
          <w:color w:val="auto"/>
          <w:sz w:val="44"/>
          <w:szCs w:val="44"/>
          <w:lang w:val="en-US" w:eastAsia="zh-CN"/>
        </w:rPr>
        <w:t>政策解读七</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第四十六条  社区矫正对象具有刑法规定的撤销缓刑、假释情形的，应当由人民法院撤销缓刑、假释。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对于在考验期限内犯新罪或者发现判决宣告以前还有其他罪没有判决的，应当由审理该案件的人民法院撤销缓刑、假释，并书面通知原审人民法院和执行地社区矫正机构。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对于有第二款规定以外的其他需要撤销缓刑、假释情形的，社区矫正机构应当向原审人民法院或者执行地人民法院提出撤销缓刑、假释建议，并将建议书抄送人民检察院。社区矫正机构提出撤销缓刑、假释建议时，应当说明理由，并提供有关证据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jc w:val="both"/>
        <w:textAlignment w:val="auto"/>
        <w:rPr>
          <w:color w:val="auto"/>
        </w:rPr>
      </w:pPr>
      <w:r>
        <w:rPr>
          <w:rStyle w:val="7"/>
          <w:rFonts w:hint="eastAsia" w:ascii="黑体" w:hAnsi="宋体" w:eastAsia="黑体" w:cs="黑体"/>
          <w:i w:val="0"/>
          <w:iCs w:val="0"/>
          <w:caps w:val="0"/>
          <w:color w:val="auto"/>
          <w:spacing w:val="8"/>
          <w:sz w:val="27"/>
          <w:szCs w:val="27"/>
          <w:shd w:val="clear" w:fill="FFFFFF"/>
        </w:rPr>
        <w:t>【条文释义】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color w:val="auto"/>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本条是关于撤销缓刑、假释的管辖和提请的规定。第一款是关于撤销缓刑、假释的情形和主体的规定。第二款是关于因发现新罪或者漏罪撤销缓刑、假释案件管辖的规定。第三款是关于因违反监督管理规定撤销缓刑、假释案件管辖和提请程序的规定。</w:t>
      </w:r>
      <w:r>
        <w:rPr>
          <w:rStyle w:val="7"/>
          <w:rFonts w:hint="eastAsia" w:ascii="黑体" w:hAnsi="宋体" w:eastAsia="黑体" w:cs="黑体"/>
          <w:b/>
          <w:i w:val="0"/>
          <w:iCs w:val="0"/>
          <w:caps w:val="0"/>
          <w:color w:val="auto"/>
          <w:spacing w:val="8"/>
          <w:sz w:val="27"/>
          <w:szCs w:val="27"/>
          <w:shd w:val="clear" w:fill="FFFFFF"/>
        </w:rPr>
        <w:t>【实践中应注意的问题】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在本条的理解适用中，应当注意以下问题：本条第二款规定的程序中，是否撤销缓刑、假释，取决于新罪或漏罪是否成立，与社区矫正的执行情况没有必然关系，所以没有规定社区矫正机构向审判案件的法院报送有关材料。但如果社区矫正机构了解有关信息，特别是在监督管理过程中掌握其犯新罪的有关证据材料的，也应当积极配合办理新罪或漏罪案件的侦查、调查、检察、审判机关。</w:t>
      </w:r>
    </w:p>
    <w:p>
      <w:pPr>
        <w:keepNext w:val="0"/>
        <w:keepLines w:val="0"/>
        <w:pageBreakBefore w:val="0"/>
        <w:kinsoku/>
        <w:wordWrap/>
        <w:overflowPunct/>
        <w:topLinePunct w:val="0"/>
        <w:autoSpaceDE/>
        <w:autoSpaceDN/>
        <w:bidi w:val="0"/>
        <w:adjustRightInd/>
        <w:snapToGrid/>
        <w:spacing w:line="560" w:lineRule="exact"/>
        <w:ind w:left="0" w:right="0"/>
        <w:textAlignment w:val="auto"/>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C428AA"/>
    <w:rsid w:val="37622459"/>
    <w:rsid w:val="5E4E6F33"/>
    <w:rsid w:val="6B3709F5"/>
    <w:rsid w:val="706665BB"/>
    <w:rsid w:val="73920EBF"/>
    <w:rsid w:val="746146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qhtf2</dc:creator>
  <cp:lastModifiedBy>喵小美(=^.^=)</cp:lastModifiedBy>
  <dcterms:modified xsi:type="dcterms:W3CDTF">2022-03-09T03:24:07Z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63793A296E2B406BBFE5167F566B0A00</vt:lpwstr>
  </property>
</Properties>
</file>